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A5E8" w14:textId="77777777" w:rsidR="00A76922" w:rsidRPr="000860A0" w:rsidRDefault="00A76922" w:rsidP="00CA4582">
      <w:pPr>
        <w:pStyle w:val="Nadpis2"/>
        <w:spacing w:line="240" w:lineRule="auto"/>
        <w:rPr>
          <w:rFonts w:ascii="Calibri" w:hAnsi="Calibri" w:cs="Calibri"/>
          <w:b/>
          <w:bCs/>
          <w:color w:val="000000"/>
          <w:sz w:val="20"/>
          <w:szCs w:val="20"/>
        </w:rPr>
      </w:pPr>
      <w:bookmarkStart w:id="0" w:name="_rpfbwj9xpnzb"/>
      <w:bookmarkEnd w:id="0"/>
      <w:r w:rsidRPr="000860A0">
        <w:rPr>
          <w:rFonts w:ascii="Calibri" w:hAnsi="Calibri" w:cs="Calibri"/>
          <w:b/>
          <w:bCs/>
          <w:color w:val="000000"/>
          <w:sz w:val="20"/>
          <w:szCs w:val="20"/>
        </w:rPr>
        <w:t>SOP PCD – ambulantní kontroly a doporučená péče</w:t>
      </w:r>
    </w:p>
    <w:p w14:paraId="3ADE714D"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Autor: Vendula Martinů, Petr Pohunek a kol.</w:t>
      </w:r>
    </w:p>
    <w:p w14:paraId="02AD5D69" w14:textId="77777777" w:rsidR="00A76922" w:rsidRPr="000860A0" w:rsidRDefault="00A76922" w:rsidP="00CA4582">
      <w:pPr>
        <w:pStyle w:val="Normln1"/>
        <w:spacing w:line="240" w:lineRule="auto"/>
        <w:jc w:val="both"/>
        <w:rPr>
          <w:rFonts w:ascii="Calibri" w:hAnsi="Calibri" w:cs="Calibri"/>
          <w:color w:val="000000"/>
          <w:sz w:val="20"/>
          <w:szCs w:val="20"/>
        </w:rPr>
      </w:pPr>
    </w:p>
    <w:p w14:paraId="4FE52EBB"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Diagnostika u pacienta s podezřením na PCD začíná klinickým podezřením na základě anamnézy a příznaků.</w:t>
      </w:r>
    </w:p>
    <w:p w14:paraId="263E8E82"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Diagnostika musím být komplexní, a proto musí probíhat v diagnostickém centru, které má k dispozici všechny potřebné diagnostické metody </w:t>
      </w:r>
      <w:r w:rsidRPr="000860A0">
        <w:rPr>
          <w:rFonts w:ascii="Calibri" w:hAnsi="Calibri" w:cs="Calibri"/>
          <w:bCs/>
          <w:color w:val="000000"/>
          <w:sz w:val="20"/>
          <w:szCs w:val="20"/>
        </w:rPr>
        <w:t>(vysokorychlostní viedomikroskopie, měření nazálního NO, elektronová mikroskopie, imunofluorescence, tkáňové kultury, genetické vyšetření).</w:t>
      </w:r>
      <w:r w:rsidRPr="000860A0">
        <w:rPr>
          <w:rFonts w:ascii="Calibri" w:hAnsi="Calibri" w:cs="Calibri"/>
          <w:color w:val="000000"/>
          <w:sz w:val="20"/>
          <w:szCs w:val="20"/>
        </w:rPr>
        <w:t xml:space="preserve"> </w:t>
      </w:r>
    </w:p>
    <w:p w14:paraId="48EDE226"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Po potvrzení diagnózy je pacient zařazen do mezinárodního registru PCD (ERN).</w:t>
      </w:r>
    </w:p>
    <w:p w14:paraId="6909AC3C"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Zároveň je zařazen do systému dlouhodobého klinického sledování. To musí probíhat u řádně informovaného specialisty (dětský pneumolog, pneumolog), ve spolupráci s praktickým lékařem (praktickým lékařem pro děti a dorost). Specialista koordinuje další konziliární péči (ORL, fyzioterapie, kardiologie apod.). Praktický lékař dohlíží na průběh onemocnění v mezidobí a je nemocnému k dispozici pro případ interkurentních onemocnění, případně počínajících exacerbací. K dispozici musí být jednoznačně definované informované lůžkové zázemí pro případ závažných exacerbací nebo potřeby intravenózního přeléčení antibiotiky či léčby případných komplikací.</w:t>
      </w:r>
    </w:p>
    <w:p w14:paraId="3321713C" w14:textId="77777777" w:rsidR="00A76922" w:rsidRPr="000860A0" w:rsidRDefault="00A76922" w:rsidP="00CA4582">
      <w:pPr>
        <w:pStyle w:val="Normln1"/>
        <w:spacing w:line="240" w:lineRule="auto"/>
        <w:jc w:val="both"/>
        <w:rPr>
          <w:rFonts w:ascii="Calibri" w:hAnsi="Calibri" w:cs="Calibri"/>
          <w:b/>
          <w:color w:val="000000"/>
          <w:sz w:val="20"/>
          <w:szCs w:val="20"/>
          <w:u w:val="single"/>
        </w:rPr>
      </w:pPr>
    </w:p>
    <w:p w14:paraId="2501D2CE"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b/>
          <w:color w:val="000000"/>
          <w:sz w:val="20"/>
          <w:szCs w:val="20"/>
        </w:rPr>
        <w:t>Interval ambulantní kontroly</w:t>
      </w:r>
    </w:p>
    <w:p w14:paraId="5200F1AA"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Kontrola u specialisty (pneumolog, dětský pneumolog) probíhá 1x za 3 měsíce, nevyžaduje-li to stav častěji. </w:t>
      </w:r>
    </w:p>
    <w:p w14:paraId="0943F5E1"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Dětský pacient: kontrola pravidelně á 3 měsíce v centru FNM, nebo kontrola pneumologem v místě bydliště á 3 měsíce a v centru FNM 1x ročně (individuálně podle stavu častěji), ke kontrole ve FNM je třeba vždy donést zprávy od ošetřujících lékařů.</w:t>
      </w:r>
      <w:r w:rsidRPr="000860A0">
        <w:rPr>
          <w:rFonts w:ascii="Calibri" w:hAnsi="Calibri" w:cs="Calibri"/>
          <w:b/>
          <w:color w:val="000000"/>
          <w:sz w:val="20"/>
          <w:szCs w:val="20"/>
        </w:rPr>
        <w:t xml:space="preserve"> </w:t>
      </w:r>
    </w:p>
    <w:p w14:paraId="0F3C7A87"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Při každém vyšetření je nutné dodržovat separační hygienický režim podle</w:t>
      </w:r>
      <w:r>
        <w:rPr>
          <w:rFonts w:ascii="Calibri" w:hAnsi="Calibri" w:cs="Calibri"/>
          <w:color w:val="000000"/>
          <w:sz w:val="20"/>
          <w:szCs w:val="20"/>
        </w:rPr>
        <w:t xml:space="preserve"> mikrobiálního osídlení </w:t>
      </w:r>
      <w:r w:rsidRPr="000860A0">
        <w:rPr>
          <w:rFonts w:ascii="Calibri" w:hAnsi="Calibri" w:cs="Calibri"/>
          <w:color w:val="000000"/>
          <w:sz w:val="20"/>
          <w:szCs w:val="20"/>
        </w:rPr>
        <w:t>(pacienti s</w:t>
      </w:r>
      <w:r>
        <w:rPr>
          <w:rFonts w:ascii="Calibri" w:hAnsi="Calibri" w:cs="Calibri"/>
          <w:color w:val="000000"/>
          <w:sz w:val="20"/>
          <w:szCs w:val="20"/>
        </w:rPr>
        <w:t> </w:t>
      </w:r>
      <w:r w:rsidRPr="000860A0">
        <w:rPr>
          <w:rFonts w:ascii="Calibri" w:hAnsi="Calibri" w:cs="Calibri"/>
          <w:color w:val="000000"/>
          <w:sz w:val="20"/>
          <w:szCs w:val="20"/>
        </w:rPr>
        <w:t>P</w:t>
      </w:r>
      <w:r>
        <w:rPr>
          <w:rFonts w:ascii="Calibri" w:hAnsi="Calibri" w:cs="Calibri"/>
          <w:color w:val="000000"/>
          <w:sz w:val="20"/>
          <w:szCs w:val="20"/>
        </w:rPr>
        <w:t>seudomonas aeruginosa - PSA</w:t>
      </w:r>
      <w:r w:rsidRPr="000860A0">
        <w:rPr>
          <w:rFonts w:ascii="Calibri" w:hAnsi="Calibri" w:cs="Calibri"/>
          <w:color w:val="000000"/>
          <w:sz w:val="20"/>
          <w:szCs w:val="20"/>
        </w:rPr>
        <w:t>, MRSA nebo mykobakteriem jsou zařazeni na konci programu nebo v jiný den, podobně jako u CF).</w:t>
      </w:r>
    </w:p>
    <w:p w14:paraId="1E3552F4" w14:textId="77777777" w:rsidR="00A76922" w:rsidRDefault="00A76922" w:rsidP="00D9082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Objednání k ambulantní kontrole ve FNM – tel. 22443 2012.</w:t>
      </w:r>
    </w:p>
    <w:p w14:paraId="7EBC202C" w14:textId="77777777" w:rsidR="00A76922" w:rsidRDefault="00A76922" w:rsidP="00D90822">
      <w:pPr>
        <w:pStyle w:val="Normln1"/>
        <w:spacing w:line="240" w:lineRule="auto"/>
        <w:jc w:val="both"/>
        <w:rPr>
          <w:rFonts w:ascii="Calibri" w:hAnsi="Calibri" w:cs="Calibri"/>
          <w:color w:val="000000"/>
          <w:sz w:val="20"/>
          <w:szCs w:val="20"/>
        </w:rPr>
      </w:pPr>
    </w:p>
    <w:p w14:paraId="122B2768" w14:textId="77777777" w:rsidR="00A76922" w:rsidRDefault="00A76922" w:rsidP="00D90822">
      <w:pPr>
        <w:pStyle w:val="Normln1"/>
        <w:spacing w:line="240" w:lineRule="auto"/>
        <w:jc w:val="both"/>
        <w:rPr>
          <w:rFonts w:ascii="Calibri" w:hAnsi="Calibri" w:cs="Calibri"/>
          <w:b/>
          <w:bCs/>
          <w:color w:val="000000"/>
          <w:sz w:val="20"/>
          <w:szCs w:val="20"/>
        </w:rPr>
      </w:pPr>
      <w:r w:rsidRPr="000860A0">
        <w:rPr>
          <w:rFonts w:ascii="Calibri" w:hAnsi="Calibri" w:cs="Calibri"/>
          <w:b/>
          <w:bCs/>
          <w:color w:val="000000"/>
          <w:sz w:val="20"/>
          <w:szCs w:val="20"/>
        </w:rPr>
        <w:t>Zařazení do registru, dotazníky</w:t>
      </w:r>
      <w:r>
        <w:rPr>
          <w:rFonts w:ascii="Calibri" w:hAnsi="Calibri" w:cs="Calibri"/>
          <w:b/>
          <w:bCs/>
          <w:color w:val="000000"/>
          <w:sz w:val="20"/>
          <w:szCs w:val="20"/>
        </w:rPr>
        <w:t xml:space="preserve"> </w:t>
      </w:r>
    </w:p>
    <w:p w14:paraId="1C937828" w14:textId="77777777" w:rsidR="00A76922" w:rsidRPr="00CE72B0" w:rsidRDefault="00A76922" w:rsidP="00CE72B0">
      <w:pPr>
        <w:rPr>
          <w:rFonts w:ascii="Times New Roman" w:eastAsia="Times New Roman" w:hAnsi="Times New Roman"/>
          <w:lang w:eastAsia="cs-CZ"/>
        </w:rPr>
      </w:pPr>
      <w:r w:rsidRPr="000860A0">
        <w:rPr>
          <w:rFonts w:cs="Calibri"/>
          <w:color w:val="000000"/>
          <w:sz w:val="20"/>
          <w:szCs w:val="20"/>
        </w:rPr>
        <w:t>U nově diagnostikovaného pacienta je nutné vyplnit informované souhlasy (ERN) a vstupní dotazník pro nového pacienta.</w:t>
      </w:r>
      <w:r>
        <w:rPr>
          <w:rFonts w:cs="Calibri"/>
          <w:color w:val="000000"/>
          <w:sz w:val="20"/>
          <w:szCs w:val="20"/>
        </w:rPr>
        <w:t xml:space="preserve"> </w:t>
      </w:r>
      <w:r w:rsidRPr="000860A0">
        <w:rPr>
          <w:rFonts w:cs="Calibri"/>
          <w:color w:val="000000"/>
          <w:sz w:val="20"/>
          <w:szCs w:val="20"/>
        </w:rPr>
        <w:t xml:space="preserve">Pacient je pak zařazen do mezinárodního PCD registru. Pokud neproběhne diagnostický proces ve FNM, nutno tyto dokumenty do FNM zaslat. Při každé kontrole PCD pacienta á 3 měsíce je potřeba vyplnit průběžný dotazník, pokud je kontrola mimo FNM, dotazník je nutno zaslat do PCD centra FNM (nejlépe na e-mail: </w:t>
      </w:r>
      <w:hyperlink r:id="rId5" w:history="1">
        <w:r w:rsidRPr="000860A0">
          <w:rPr>
            <w:rStyle w:val="Hypertextovodkaz"/>
            <w:rFonts w:cs="Calibri"/>
            <w:color w:val="000000"/>
            <w:sz w:val="20"/>
            <w:szCs w:val="20"/>
          </w:rPr>
          <w:t>lucie.borek-dohalska@lfmotol.cuni.cz</w:t>
        </w:r>
      </w:hyperlink>
      <w:r w:rsidRPr="000860A0">
        <w:rPr>
          <w:rFonts w:cs="Calibri"/>
          <w:color w:val="000000"/>
          <w:sz w:val="20"/>
          <w:szCs w:val="20"/>
        </w:rPr>
        <w:t>).</w:t>
      </w:r>
      <w:r w:rsidR="00CE72B0" w:rsidRPr="00CE72B0">
        <w:rPr>
          <w:rFonts w:ascii="Helvetica" w:hAnsi="Helvetica"/>
          <w:color w:val="000000"/>
          <w:sz w:val="18"/>
          <w:szCs w:val="18"/>
        </w:rPr>
        <w:t xml:space="preserve"> </w:t>
      </w:r>
      <w:r w:rsidR="00CE72B0">
        <w:rPr>
          <w:rFonts w:asciiTheme="minorHAnsi" w:eastAsia="Times New Roman" w:hAnsiTheme="minorHAnsi" w:cstheme="minorHAnsi"/>
          <w:color w:val="000000"/>
          <w:sz w:val="20"/>
          <w:szCs w:val="20"/>
          <w:lang w:eastAsia="cs-CZ"/>
        </w:rPr>
        <w:t>K</w:t>
      </w:r>
      <w:r w:rsidR="00CE72B0" w:rsidRPr="00CE72B0">
        <w:rPr>
          <w:rFonts w:asciiTheme="minorHAnsi" w:eastAsia="Times New Roman" w:hAnsiTheme="minorHAnsi" w:cstheme="minorHAnsi"/>
          <w:color w:val="000000"/>
          <w:sz w:val="20"/>
          <w:szCs w:val="20"/>
          <w:lang w:eastAsia="cs-CZ"/>
        </w:rPr>
        <w:t>aždému pacientovi bude přiděleno číslo z registru, které</w:t>
      </w:r>
      <w:r w:rsidR="00CE72B0" w:rsidRPr="00CE72B0">
        <w:rPr>
          <w:rFonts w:asciiTheme="minorHAnsi" w:eastAsia="Times New Roman" w:hAnsiTheme="minorHAnsi" w:cstheme="minorHAnsi"/>
          <w:color w:val="000000"/>
          <w:sz w:val="20"/>
          <w:szCs w:val="20"/>
          <w:lang w:eastAsia="cs-CZ"/>
        </w:rPr>
        <w:br/>
        <w:t>po předchozí domluvě sdělím</w:t>
      </w:r>
      <w:r w:rsidR="00CE72B0">
        <w:rPr>
          <w:rFonts w:asciiTheme="minorHAnsi" w:eastAsia="Times New Roman" w:hAnsiTheme="minorHAnsi" w:cstheme="minorHAnsi"/>
          <w:color w:val="000000"/>
          <w:sz w:val="20"/>
          <w:szCs w:val="20"/>
          <w:lang w:eastAsia="cs-CZ"/>
        </w:rPr>
        <w:t>e</w:t>
      </w:r>
      <w:r w:rsidR="00CE72B0" w:rsidRPr="00CE72B0">
        <w:rPr>
          <w:rFonts w:asciiTheme="minorHAnsi" w:eastAsia="Times New Roman" w:hAnsiTheme="minorHAnsi" w:cstheme="minorHAnsi"/>
          <w:color w:val="000000"/>
          <w:sz w:val="20"/>
          <w:szCs w:val="20"/>
          <w:lang w:eastAsia="cs-CZ"/>
        </w:rPr>
        <w:t xml:space="preserve"> e-mailem</w:t>
      </w:r>
      <w:r w:rsidR="00CE72B0">
        <w:rPr>
          <w:rFonts w:asciiTheme="minorHAnsi" w:eastAsia="Times New Roman" w:hAnsiTheme="minorHAnsi" w:cstheme="minorHAnsi"/>
          <w:color w:val="000000"/>
          <w:sz w:val="20"/>
          <w:szCs w:val="20"/>
          <w:lang w:eastAsia="cs-CZ"/>
        </w:rPr>
        <w:t xml:space="preserve"> (z důvodu dodržování </w:t>
      </w:r>
      <w:r w:rsidR="00CE72B0" w:rsidRPr="00CE72B0">
        <w:rPr>
          <w:rFonts w:asciiTheme="minorHAnsi" w:eastAsia="Times New Roman" w:hAnsiTheme="minorHAnsi" w:cstheme="minorHAnsi"/>
          <w:color w:val="000000"/>
          <w:sz w:val="20"/>
          <w:szCs w:val="20"/>
          <w:lang w:eastAsia="cs-CZ"/>
        </w:rPr>
        <w:t>GDPR</w:t>
      </w:r>
      <w:r w:rsidR="00CE72B0">
        <w:rPr>
          <w:rFonts w:asciiTheme="minorHAnsi" w:eastAsia="Times New Roman" w:hAnsiTheme="minorHAnsi" w:cstheme="minorHAnsi"/>
          <w:color w:val="000000"/>
          <w:sz w:val="20"/>
          <w:szCs w:val="20"/>
          <w:lang w:eastAsia="cs-CZ"/>
        </w:rPr>
        <w:t>)</w:t>
      </w:r>
      <w:r w:rsidR="00CE72B0" w:rsidRPr="00CE72B0">
        <w:rPr>
          <w:rFonts w:asciiTheme="minorHAnsi" w:eastAsia="Times New Roman" w:hAnsiTheme="minorHAnsi" w:cstheme="minorHAnsi"/>
          <w:color w:val="000000"/>
          <w:sz w:val="20"/>
          <w:szCs w:val="20"/>
          <w:lang w:eastAsia="cs-CZ"/>
        </w:rPr>
        <w:t>.</w:t>
      </w:r>
    </w:p>
    <w:p w14:paraId="607552EC" w14:textId="77777777" w:rsidR="00A76922" w:rsidRPr="000860A0" w:rsidRDefault="00A76922" w:rsidP="00CA4582">
      <w:pPr>
        <w:pStyle w:val="Normln1"/>
        <w:numPr>
          <w:ilvl w:val="0"/>
          <w:numId w:val="4"/>
        </w:numPr>
        <w:spacing w:line="240" w:lineRule="auto"/>
        <w:rPr>
          <w:rFonts w:ascii="Calibri" w:hAnsi="Calibri" w:cs="Calibri"/>
          <w:color w:val="000000"/>
          <w:sz w:val="20"/>
          <w:szCs w:val="20"/>
        </w:rPr>
      </w:pPr>
      <w:r w:rsidRPr="000860A0">
        <w:rPr>
          <w:rFonts w:ascii="Calibri" w:hAnsi="Calibri" w:cs="Calibri"/>
          <w:color w:val="000000"/>
          <w:sz w:val="20"/>
          <w:szCs w:val="20"/>
        </w:rPr>
        <w:t xml:space="preserve">Dotazníky </w:t>
      </w:r>
      <w:r>
        <w:rPr>
          <w:rFonts w:ascii="Calibri" w:hAnsi="Calibri" w:cs="Calibri"/>
          <w:color w:val="000000"/>
          <w:sz w:val="20"/>
          <w:szCs w:val="20"/>
        </w:rPr>
        <w:t>jsou</w:t>
      </w:r>
      <w:r w:rsidRPr="000860A0">
        <w:rPr>
          <w:rFonts w:ascii="Calibri" w:hAnsi="Calibri" w:cs="Calibri"/>
          <w:color w:val="000000"/>
          <w:sz w:val="20"/>
          <w:szCs w:val="20"/>
        </w:rPr>
        <w:t xml:space="preserve"> k dispozici na webových stránkách www.rasinky.cz</w:t>
      </w:r>
    </w:p>
    <w:p w14:paraId="0FFB1103" w14:textId="77777777" w:rsidR="00A76922" w:rsidRDefault="00A76922" w:rsidP="00CA4582">
      <w:pPr>
        <w:pStyle w:val="Normln1"/>
        <w:spacing w:line="240" w:lineRule="auto"/>
        <w:jc w:val="both"/>
        <w:rPr>
          <w:rFonts w:ascii="Calibri" w:hAnsi="Calibri" w:cs="Calibri"/>
          <w:color w:val="000000"/>
          <w:sz w:val="20"/>
          <w:szCs w:val="20"/>
        </w:rPr>
      </w:pPr>
    </w:p>
    <w:p w14:paraId="2DC85B6F" w14:textId="77777777" w:rsidR="00A76922" w:rsidRPr="006C6C27" w:rsidRDefault="00A76922" w:rsidP="00CA4582">
      <w:pPr>
        <w:pStyle w:val="Normln1"/>
        <w:spacing w:line="240" w:lineRule="auto"/>
        <w:jc w:val="both"/>
        <w:rPr>
          <w:rFonts w:ascii="Calibri" w:hAnsi="Calibri" w:cs="Calibri"/>
          <w:color w:val="000000"/>
          <w:sz w:val="20"/>
          <w:szCs w:val="20"/>
          <w:u w:val="single"/>
        </w:rPr>
      </w:pPr>
      <w:r w:rsidRPr="006C6C27">
        <w:rPr>
          <w:rFonts w:ascii="Calibri" w:hAnsi="Calibri" w:cs="Calibri"/>
          <w:color w:val="000000"/>
          <w:sz w:val="20"/>
          <w:szCs w:val="20"/>
          <w:u w:val="single"/>
        </w:rPr>
        <w:t>Ambulantní kontrola</w:t>
      </w:r>
      <w:r>
        <w:rPr>
          <w:rFonts w:ascii="Calibri" w:hAnsi="Calibri" w:cs="Calibri"/>
          <w:color w:val="000000"/>
          <w:sz w:val="20"/>
          <w:szCs w:val="20"/>
          <w:u w:val="single"/>
        </w:rPr>
        <w:t>:</w:t>
      </w:r>
    </w:p>
    <w:p w14:paraId="7A6885C4" w14:textId="77777777" w:rsidR="00A76922" w:rsidRPr="000860A0" w:rsidRDefault="00A76922" w:rsidP="00CA4582">
      <w:pPr>
        <w:pStyle w:val="Normln1"/>
        <w:spacing w:line="240" w:lineRule="auto"/>
        <w:jc w:val="both"/>
        <w:rPr>
          <w:rFonts w:ascii="Calibri" w:hAnsi="Calibri" w:cs="Calibri"/>
          <w:color w:val="000000"/>
          <w:sz w:val="20"/>
          <w:szCs w:val="20"/>
        </w:rPr>
      </w:pPr>
    </w:p>
    <w:p w14:paraId="16E0A53E" w14:textId="77777777" w:rsidR="00A76922" w:rsidRPr="000860A0" w:rsidRDefault="00A76922" w:rsidP="00CA4582">
      <w:pPr>
        <w:pStyle w:val="Normln1"/>
        <w:spacing w:line="240" w:lineRule="auto"/>
        <w:jc w:val="both"/>
        <w:rPr>
          <w:rFonts w:ascii="Calibri" w:hAnsi="Calibri" w:cs="Calibri"/>
          <w:b/>
          <w:color w:val="000000"/>
          <w:sz w:val="20"/>
          <w:szCs w:val="20"/>
        </w:rPr>
      </w:pPr>
      <w:r w:rsidRPr="000860A0">
        <w:rPr>
          <w:rFonts w:ascii="Calibri" w:hAnsi="Calibri" w:cs="Calibri"/>
          <w:b/>
          <w:color w:val="000000"/>
          <w:sz w:val="20"/>
          <w:szCs w:val="20"/>
        </w:rPr>
        <w:t>Hlavička</w:t>
      </w:r>
    </w:p>
    <w:p w14:paraId="43300ADF"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Identifikace, věk při diagnóze, na základě jakých příznaků (okolnosti dg…), EM, genetika (pokud je k dispozici)</w:t>
      </w:r>
    </w:p>
    <w:p w14:paraId="251DF491" w14:textId="77777777" w:rsidR="00A76922" w:rsidRPr="000860A0" w:rsidRDefault="00A76922" w:rsidP="00CA4582">
      <w:pPr>
        <w:pStyle w:val="Normln1"/>
        <w:spacing w:line="240" w:lineRule="auto"/>
        <w:jc w:val="both"/>
        <w:rPr>
          <w:rFonts w:ascii="Calibri" w:hAnsi="Calibri" w:cs="Calibri"/>
          <w:color w:val="000000"/>
          <w:sz w:val="20"/>
          <w:szCs w:val="20"/>
        </w:rPr>
      </w:pPr>
    </w:p>
    <w:p w14:paraId="093C1334"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b/>
          <w:color w:val="000000"/>
          <w:sz w:val="20"/>
          <w:szCs w:val="20"/>
        </w:rPr>
        <w:t>Změny od poslední kontroly</w:t>
      </w:r>
      <w:r w:rsidRPr="000860A0">
        <w:rPr>
          <w:rFonts w:ascii="Calibri" w:hAnsi="Calibri" w:cs="Calibri"/>
          <w:color w:val="000000"/>
          <w:sz w:val="20"/>
          <w:szCs w:val="20"/>
        </w:rPr>
        <w:t xml:space="preserve"> </w:t>
      </w:r>
    </w:p>
    <w:p w14:paraId="60B97207" w14:textId="77777777" w:rsidR="00A76922" w:rsidRPr="000860A0" w:rsidRDefault="00A76922" w:rsidP="00CA4582">
      <w:pPr>
        <w:pStyle w:val="Normln1"/>
        <w:spacing w:line="240" w:lineRule="auto"/>
        <w:jc w:val="both"/>
        <w:rPr>
          <w:rFonts w:ascii="Calibri" w:hAnsi="Calibri" w:cs="Calibri"/>
          <w:color w:val="000000"/>
          <w:sz w:val="20"/>
          <w:szCs w:val="20"/>
        </w:rPr>
      </w:pPr>
      <w:r>
        <w:rPr>
          <w:rFonts w:ascii="Calibri" w:hAnsi="Calibri" w:cs="Calibri"/>
          <w:color w:val="000000"/>
          <w:sz w:val="20"/>
          <w:szCs w:val="20"/>
        </w:rPr>
        <w:t>Z</w:t>
      </w:r>
      <w:r w:rsidRPr="000860A0">
        <w:rPr>
          <w:rFonts w:ascii="Calibri" w:hAnsi="Calibri" w:cs="Calibri"/>
          <w:color w:val="000000"/>
          <w:sz w:val="20"/>
          <w:szCs w:val="20"/>
        </w:rPr>
        <w:t>dravotní stav (plicní exacerbace, ATB, kultivace), výsledky vyšetření, kde všude je pacient sledován, změny medikace, rodinná a sociální situace</w:t>
      </w:r>
    </w:p>
    <w:p w14:paraId="455862F7" w14:textId="77777777" w:rsidR="00A76922" w:rsidRPr="000860A0" w:rsidRDefault="00A76922" w:rsidP="006C6C27">
      <w:pPr>
        <w:autoSpaceDE w:val="0"/>
        <w:autoSpaceDN w:val="0"/>
        <w:adjustRightInd w:val="0"/>
        <w:ind w:firstLine="708"/>
        <w:rPr>
          <w:rFonts w:cs="Calibri"/>
          <w:b/>
          <w:color w:val="000000"/>
          <w:sz w:val="20"/>
          <w:szCs w:val="20"/>
        </w:rPr>
      </w:pPr>
      <w:r w:rsidRPr="000860A0">
        <w:rPr>
          <w:rFonts w:cs="Calibri"/>
          <w:b/>
          <w:color w:val="000000"/>
          <w:sz w:val="20"/>
          <w:szCs w:val="20"/>
        </w:rPr>
        <w:t>Definice exacerbace podle Beat-PCD</w:t>
      </w:r>
      <w:r>
        <w:rPr>
          <w:rFonts w:cs="Calibri"/>
          <w:b/>
          <w:color w:val="000000"/>
          <w:sz w:val="20"/>
          <w:szCs w:val="20"/>
        </w:rPr>
        <w:t xml:space="preserve"> - </w:t>
      </w:r>
      <w:r w:rsidRPr="000860A0">
        <w:rPr>
          <w:rFonts w:cs="Calibri"/>
          <w:b/>
          <w:color w:val="000000"/>
          <w:sz w:val="20"/>
          <w:szCs w:val="20"/>
        </w:rPr>
        <w:t>viz příloha</w:t>
      </w:r>
    </w:p>
    <w:p w14:paraId="6AD97133" w14:textId="77777777" w:rsidR="00A76922" w:rsidRPr="000860A0" w:rsidRDefault="00A76922" w:rsidP="006C6C27">
      <w:pPr>
        <w:autoSpaceDE w:val="0"/>
        <w:autoSpaceDN w:val="0"/>
        <w:adjustRightInd w:val="0"/>
        <w:ind w:left="708"/>
        <w:rPr>
          <w:rFonts w:cs="Calibri"/>
          <w:color w:val="000000"/>
          <w:sz w:val="20"/>
          <w:szCs w:val="20"/>
        </w:rPr>
      </w:pPr>
      <w:r w:rsidRPr="000860A0">
        <w:rPr>
          <w:rFonts w:cs="Calibri"/>
          <w:color w:val="000000"/>
          <w:sz w:val="20"/>
          <w:szCs w:val="20"/>
        </w:rPr>
        <w:t>(Lucas JS, Gahleitner F, Amorim A, et al. Pulmonary exacerbations in patients with primary ciliary dyskinesia: an expert consensus definition for use in clinical trials. ERJ Open Res 2019; 5: 00147-2018 [https://doi.org/10.1183/23120541.00147-2018].)</w:t>
      </w:r>
    </w:p>
    <w:p w14:paraId="32D898B4" w14:textId="77777777" w:rsidR="00A76922" w:rsidRPr="000860A0" w:rsidRDefault="00A76922" w:rsidP="00CA4582">
      <w:pPr>
        <w:autoSpaceDE w:val="0"/>
        <w:autoSpaceDN w:val="0"/>
        <w:adjustRightInd w:val="0"/>
        <w:rPr>
          <w:rFonts w:cs="Calibri"/>
          <w:b/>
          <w:color w:val="000000"/>
          <w:sz w:val="20"/>
          <w:szCs w:val="20"/>
        </w:rPr>
      </w:pPr>
    </w:p>
    <w:p w14:paraId="3A670FE0" w14:textId="77777777" w:rsidR="00A76922" w:rsidRPr="000860A0" w:rsidRDefault="00A76922" w:rsidP="00CA4582">
      <w:pPr>
        <w:pStyle w:val="Normln1"/>
        <w:spacing w:line="240" w:lineRule="auto"/>
        <w:jc w:val="both"/>
        <w:rPr>
          <w:rFonts w:ascii="Calibri" w:hAnsi="Calibri" w:cs="Calibri"/>
          <w:b/>
          <w:color w:val="000000"/>
          <w:sz w:val="20"/>
          <w:szCs w:val="20"/>
        </w:rPr>
      </w:pPr>
      <w:r w:rsidRPr="000860A0">
        <w:rPr>
          <w:rFonts w:ascii="Calibri" w:hAnsi="Calibri" w:cs="Calibri"/>
          <w:b/>
          <w:color w:val="000000"/>
          <w:sz w:val="20"/>
          <w:szCs w:val="20"/>
        </w:rPr>
        <w:t xml:space="preserve">Přehled aktuální terapie </w:t>
      </w:r>
    </w:p>
    <w:p w14:paraId="1ED8E017"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(včetně fyzioterapie (kde sledován a kontrolován?), inhalátoru apod.)</w:t>
      </w:r>
    </w:p>
    <w:p w14:paraId="0119926C" w14:textId="77777777" w:rsidR="00A76922" w:rsidRPr="000860A0" w:rsidRDefault="00A76922" w:rsidP="00CA4582">
      <w:pPr>
        <w:pStyle w:val="Normln1"/>
        <w:spacing w:line="240" w:lineRule="auto"/>
        <w:jc w:val="both"/>
        <w:rPr>
          <w:rFonts w:ascii="Calibri" w:hAnsi="Calibri" w:cs="Calibri"/>
          <w:color w:val="000000"/>
          <w:sz w:val="20"/>
          <w:szCs w:val="20"/>
        </w:rPr>
      </w:pPr>
    </w:p>
    <w:p w14:paraId="4D12F853"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b/>
          <w:color w:val="000000"/>
          <w:sz w:val="20"/>
          <w:szCs w:val="20"/>
        </w:rPr>
        <w:t>Subjektivní stav</w:t>
      </w:r>
      <w:r w:rsidRPr="000860A0">
        <w:rPr>
          <w:rFonts w:ascii="Calibri" w:hAnsi="Calibri" w:cs="Calibri"/>
          <w:color w:val="000000"/>
          <w:sz w:val="20"/>
          <w:szCs w:val="20"/>
        </w:rPr>
        <w:t xml:space="preserve"> </w:t>
      </w:r>
    </w:p>
    <w:p w14:paraId="6BCD5FBE" w14:textId="77777777" w:rsidR="00A76922" w:rsidRPr="000860A0" w:rsidRDefault="00A76922" w:rsidP="00CA4582">
      <w:pPr>
        <w:pStyle w:val="Normln1"/>
        <w:spacing w:line="240" w:lineRule="auto"/>
        <w:jc w:val="both"/>
        <w:rPr>
          <w:rFonts w:ascii="Calibri" w:hAnsi="Calibri" w:cs="Calibri"/>
          <w:color w:val="000000"/>
          <w:sz w:val="20"/>
          <w:szCs w:val="20"/>
        </w:rPr>
      </w:pPr>
      <w:r>
        <w:rPr>
          <w:rFonts w:ascii="Calibri" w:hAnsi="Calibri" w:cs="Calibri"/>
          <w:color w:val="000000"/>
          <w:sz w:val="20"/>
          <w:szCs w:val="20"/>
        </w:rPr>
        <w:t>D</w:t>
      </w:r>
      <w:r w:rsidRPr="000860A0">
        <w:rPr>
          <w:rFonts w:ascii="Calibri" w:hAnsi="Calibri" w:cs="Calibri"/>
          <w:color w:val="000000"/>
          <w:sz w:val="20"/>
          <w:szCs w:val="20"/>
        </w:rPr>
        <w:t>ušnost, tolerance zátěže, kašel, sputum, nos, sluch, teploty, bolesti, alergické projevy, porucha spánku</w:t>
      </w:r>
    </w:p>
    <w:p w14:paraId="40DEEE4A" w14:textId="77777777" w:rsidR="00A76922" w:rsidRPr="000860A0" w:rsidRDefault="00A76922" w:rsidP="00CA4582">
      <w:pPr>
        <w:pStyle w:val="Normln1"/>
        <w:spacing w:line="240" w:lineRule="auto"/>
        <w:jc w:val="both"/>
        <w:rPr>
          <w:rFonts w:ascii="Calibri" w:hAnsi="Calibri" w:cs="Calibri"/>
          <w:color w:val="000000"/>
          <w:sz w:val="20"/>
          <w:szCs w:val="20"/>
        </w:rPr>
      </w:pPr>
    </w:p>
    <w:p w14:paraId="436866DF" w14:textId="77777777" w:rsidR="00A76922" w:rsidRPr="000860A0" w:rsidRDefault="00A76922" w:rsidP="00CA4582">
      <w:pPr>
        <w:pStyle w:val="Normln1"/>
        <w:spacing w:line="240" w:lineRule="auto"/>
        <w:jc w:val="both"/>
        <w:rPr>
          <w:rFonts w:ascii="Calibri" w:hAnsi="Calibri" w:cs="Calibri"/>
          <w:b/>
          <w:color w:val="000000"/>
          <w:sz w:val="20"/>
          <w:szCs w:val="20"/>
        </w:rPr>
      </w:pPr>
      <w:r w:rsidRPr="000860A0">
        <w:rPr>
          <w:rFonts w:ascii="Calibri" w:hAnsi="Calibri" w:cs="Calibri"/>
          <w:b/>
          <w:color w:val="000000"/>
          <w:sz w:val="20"/>
          <w:szCs w:val="20"/>
        </w:rPr>
        <w:t>Objektivní nález</w:t>
      </w:r>
    </w:p>
    <w:p w14:paraId="173F589F" w14:textId="77777777" w:rsidR="00A76922" w:rsidRPr="000860A0" w:rsidRDefault="00A76922" w:rsidP="00CA4582">
      <w:pPr>
        <w:pStyle w:val="Normln1"/>
        <w:spacing w:line="240" w:lineRule="auto"/>
        <w:jc w:val="both"/>
        <w:rPr>
          <w:rFonts w:ascii="Calibri" w:hAnsi="Calibri" w:cs="Calibri"/>
          <w:color w:val="000000"/>
          <w:sz w:val="20"/>
          <w:szCs w:val="20"/>
        </w:rPr>
      </w:pPr>
      <w:r>
        <w:rPr>
          <w:rFonts w:ascii="Calibri" w:hAnsi="Calibri" w:cs="Calibri"/>
          <w:color w:val="000000"/>
          <w:sz w:val="20"/>
          <w:szCs w:val="20"/>
        </w:rPr>
        <w:t>V</w:t>
      </w:r>
      <w:r w:rsidRPr="000860A0">
        <w:rPr>
          <w:rFonts w:ascii="Calibri" w:hAnsi="Calibri" w:cs="Calibri"/>
          <w:color w:val="000000"/>
          <w:sz w:val="20"/>
          <w:szCs w:val="20"/>
        </w:rPr>
        <w:t>ýška, váha, BMI, pulz, tlak (u dospělých), satO2, fyzikální nález</w:t>
      </w:r>
    </w:p>
    <w:p w14:paraId="74379CE8" w14:textId="77777777" w:rsidR="00A76922" w:rsidRPr="000860A0" w:rsidRDefault="00A76922" w:rsidP="00CA4582">
      <w:pPr>
        <w:pStyle w:val="Normln1"/>
        <w:spacing w:line="240" w:lineRule="auto"/>
        <w:jc w:val="both"/>
        <w:rPr>
          <w:rFonts w:ascii="Calibri" w:hAnsi="Calibri" w:cs="Calibri"/>
          <w:color w:val="000000"/>
          <w:sz w:val="20"/>
          <w:szCs w:val="20"/>
        </w:rPr>
      </w:pPr>
    </w:p>
    <w:p w14:paraId="148B659F"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b/>
          <w:color w:val="000000"/>
          <w:sz w:val="20"/>
          <w:szCs w:val="20"/>
        </w:rPr>
        <w:t>Vyšetření</w:t>
      </w:r>
    </w:p>
    <w:p w14:paraId="42C6499F"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plicní funkce</w:t>
      </w:r>
    </w:p>
    <w:p w14:paraId="4C032FD4" w14:textId="77777777" w:rsidR="00A76922" w:rsidRPr="000860A0" w:rsidRDefault="00A76922" w:rsidP="00CA4582">
      <w:pPr>
        <w:pStyle w:val="Normln1"/>
        <w:spacing w:line="240" w:lineRule="auto"/>
        <w:ind w:left="720"/>
        <w:jc w:val="both"/>
        <w:rPr>
          <w:rFonts w:ascii="Calibri" w:hAnsi="Calibri" w:cs="Calibri"/>
          <w:color w:val="000000"/>
          <w:sz w:val="20"/>
          <w:szCs w:val="20"/>
        </w:rPr>
      </w:pPr>
      <w:r w:rsidRPr="000860A0">
        <w:rPr>
          <w:rFonts w:ascii="Calibri" w:hAnsi="Calibri" w:cs="Calibri"/>
          <w:color w:val="000000"/>
          <w:sz w:val="20"/>
          <w:szCs w:val="20"/>
        </w:rPr>
        <w:t>spirometrie vždy při každé kontrole</w:t>
      </w:r>
    </w:p>
    <w:p w14:paraId="314EB467"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ab/>
        <w:t>bronchodilatační test a bodypletysmografie, LCI</w:t>
      </w:r>
      <w:r>
        <w:rPr>
          <w:rFonts w:ascii="Calibri" w:hAnsi="Calibri" w:cs="Calibri"/>
          <w:color w:val="000000"/>
          <w:sz w:val="20"/>
          <w:szCs w:val="20"/>
        </w:rPr>
        <w:t xml:space="preserve"> -</w:t>
      </w:r>
      <w:r w:rsidRPr="000860A0">
        <w:rPr>
          <w:rFonts w:ascii="Calibri" w:hAnsi="Calibri" w:cs="Calibri"/>
          <w:color w:val="000000"/>
          <w:sz w:val="20"/>
          <w:szCs w:val="20"/>
        </w:rPr>
        <w:t>podle individuálního zvážení</w:t>
      </w:r>
    </w:p>
    <w:p w14:paraId="336BABD6"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sputum</w:t>
      </w:r>
    </w:p>
    <w:p w14:paraId="44ABF11B" w14:textId="77777777" w:rsidR="00A76922" w:rsidRPr="000860A0" w:rsidRDefault="00A76922" w:rsidP="00CA4582">
      <w:pPr>
        <w:pStyle w:val="Normln1"/>
        <w:spacing w:line="240" w:lineRule="auto"/>
        <w:ind w:left="720"/>
        <w:jc w:val="both"/>
        <w:rPr>
          <w:rFonts w:ascii="Calibri" w:hAnsi="Calibri" w:cs="Calibri"/>
          <w:color w:val="000000"/>
          <w:sz w:val="20"/>
          <w:szCs w:val="20"/>
        </w:rPr>
      </w:pPr>
      <w:r w:rsidRPr="000860A0">
        <w:rPr>
          <w:rFonts w:ascii="Calibri" w:hAnsi="Calibri" w:cs="Calibri"/>
          <w:color w:val="000000"/>
          <w:sz w:val="20"/>
          <w:szCs w:val="20"/>
        </w:rPr>
        <w:t>kultivace sputa (kde nelze sputum, pak odsátí HCD/výtěr hltanu s kašláním)</w:t>
      </w:r>
    </w:p>
    <w:p w14:paraId="134D73C6" w14:textId="77777777" w:rsidR="00A76922" w:rsidRPr="000860A0" w:rsidRDefault="00A76922" w:rsidP="00CA4582">
      <w:pPr>
        <w:pStyle w:val="Normln1"/>
        <w:spacing w:line="240" w:lineRule="auto"/>
        <w:ind w:left="720"/>
        <w:jc w:val="both"/>
        <w:rPr>
          <w:rFonts w:ascii="Calibri" w:hAnsi="Calibri" w:cs="Calibri"/>
          <w:color w:val="000000"/>
          <w:sz w:val="20"/>
          <w:szCs w:val="20"/>
        </w:rPr>
      </w:pPr>
      <w:r w:rsidRPr="000860A0">
        <w:rPr>
          <w:rFonts w:ascii="Calibri" w:hAnsi="Calibri" w:cs="Calibri"/>
          <w:color w:val="000000"/>
          <w:sz w:val="20"/>
          <w:szCs w:val="20"/>
        </w:rPr>
        <w:t>pokud je to možné – vyšetřovat i PCR PSA</w:t>
      </w:r>
    </w:p>
    <w:p w14:paraId="1D5F3A0A" w14:textId="77777777" w:rsidR="00A76922" w:rsidRPr="000860A0" w:rsidRDefault="00A76922" w:rsidP="00CA4582">
      <w:pPr>
        <w:pStyle w:val="Normln1"/>
        <w:spacing w:line="240" w:lineRule="auto"/>
        <w:ind w:left="720"/>
        <w:jc w:val="both"/>
        <w:rPr>
          <w:rFonts w:ascii="Calibri" w:hAnsi="Calibri" w:cs="Calibri"/>
          <w:bCs/>
          <w:color w:val="000000"/>
          <w:sz w:val="20"/>
          <w:szCs w:val="20"/>
        </w:rPr>
      </w:pPr>
      <w:r w:rsidRPr="000860A0">
        <w:rPr>
          <w:rFonts w:ascii="Calibri" w:hAnsi="Calibri" w:cs="Calibri"/>
          <w:bCs/>
          <w:color w:val="000000"/>
          <w:sz w:val="20"/>
          <w:szCs w:val="20"/>
        </w:rPr>
        <w:t>event. i zvlášť mykotická kultivace v indikovaných případech</w:t>
      </w:r>
    </w:p>
    <w:p w14:paraId="69425391" w14:textId="77777777" w:rsidR="00A76922" w:rsidRPr="000860A0" w:rsidRDefault="00A76922" w:rsidP="00CA4582">
      <w:pPr>
        <w:pStyle w:val="Normln1"/>
        <w:spacing w:line="240" w:lineRule="auto"/>
        <w:ind w:left="720"/>
        <w:jc w:val="both"/>
        <w:rPr>
          <w:rFonts w:ascii="Calibri" w:hAnsi="Calibri" w:cs="Calibri"/>
          <w:color w:val="000000"/>
          <w:sz w:val="20"/>
          <w:szCs w:val="20"/>
        </w:rPr>
      </w:pPr>
      <w:r w:rsidRPr="000860A0">
        <w:rPr>
          <w:rFonts w:ascii="Calibri" w:hAnsi="Calibri" w:cs="Calibri"/>
          <w:color w:val="000000"/>
          <w:sz w:val="20"/>
          <w:szCs w:val="20"/>
        </w:rPr>
        <w:t>1x ročně mykobakteria (zejm. u dospělých pacientů, v případě bronchoskopie poslat vždy)</w:t>
      </w:r>
    </w:p>
    <w:p w14:paraId="308CDBE3"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ORL </w:t>
      </w:r>
      <w:r w:rsidRPr="000860A0">
        <w:rPr>
          <w:rFonts w:ascii="Calibri" w:hAnsi="Calibri" w:cs="Calibri"/>
          <w:color w:val="000000"/>
          <w:sz w:val="20"/>
          <w:szCs w:val="20"/>
        </w:rPr>
        <w:tab/>
      </w:r>
    </w:p>
    <w:p w14:paraId="26DC50C2" w14:textId="77777777" w:rsidR="00A76922" w:rsidRPr="000860A0" w:rsidRDefault="00A76922" w:rsidP="00CA4582">
      <w:pPr>
        <w:pStyle w:val="Normln1"/>
        <w:spacing w:line="240" w:lineRule="auto"/>
        <w:ind w:left="708"/>
        <w:jc w:val="both"/>
        <w:rPr>
          <w:rFonts w:ascii="Calibri" w:hAnsi="Calibri" w:cs="Calibri"/>
          <w:color w:val="000000"/>
          <w:sz w:val="20"/>
          <w:szCs w:val="20"/>
        </w:rPr>
      </w:pPr>
      <w:r w:rsidRPr="000860A0">
        <w:rPr>
          <w:rFonts w:ascii="Calibri" w:hAnsi="Calibri" w:cs="Calibri"/>
          <w:color w:val="000000"/>
          <w:sz w:val="20"/>
          <w:szCs w:val="20"/>
        </w:rPr>
        <w:t>minimálně 1 x ročně kompletní ORL vyšetření včetně kontroly sluchu - audiometrie a tympanometrie, při potížích kontroly častěji podle potřeby, nazální topické kortikosteroidy podle ordinace ORL lékaře, naslouchadla nebo operační výkony podle ORL (gromety, adenotomie, mastoidektomie, endonazální chirurgické výkony). Indikace by měla být konzultována s PCD centrem</w:t>
      </w:r>
      <w:r>
        <w:rPr>
          <w:rFonts w:ascii="Calibri" w:hAnsi="Calibri" w:cs="Calibri"/>
          <w:color w:val="000000"/>
          <w:sz w:val="20"/>
          <w:szCs w:val="20"/>
        </w:rPr>
        <w:t>.</w:t>
      </w:r>
    </w:p>
    <w:p w14:paraId="6D12EC47"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fyzioterapie </w:t>
      </w:r>
    </w:p>
    <w:p w14:paraId="09FF5CC7" w14:textId="77777777" w:rsidR="00A76922" w:rsidRPr="000860A0" w:rsidRDefault="00A76922" w:rsidP="00CA4582">
      <w:pPr>
        <w:pStyle w:val="Normln1"/>
        <w:spacing w:line="240" w:lineRule="auto"/>
        <w:ind w:firstLine="708"/>
        <w:jc w:val="both"/>
        <w:rPr>
          <w:rFonts w:ascii="Calibri" w:hAnsi="Calibri" w:cs="Calibri"/>
          <w:color w:val="000000"/>
          <w:sz w:val="20"/>
          <w:szCs w:val="20"/>
        </w:rPr>
      </w:pPr>
      <w:r w:rsidRPr="000860A0">
        <w:rPr>
          <w:rFonts w:ascii="Calibri" w:hAnsi="Calibri" w:cs="Calibri"/>
          <w:color w:val="000000"/>
          <w:sz w:val="20"/>
          <w:szCs w:val="20"/>
        </w:rPr>
        <w:t>1x ročně a při každé hospitalizaci, častější kontrola dle potřeby – zejm. u dětí</w:t>
      </w:r>
    </w:p>
    <w:p w14:paraId="2496F0DF"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laboratorní odběry</w:t>
      </w:r>
    </w:p>
    <w:p w14:paraId="4DA365CA" w14:textId="77777777" w:rsidR="00A76922" w:rsidRPr="000860A0" w:rsidRDefault="00A76922" w:rsidP="00CA4582">
      <w:pPr>
        <w:pStyle w:val="Normln1"/>
        <w:spacing w:line="240" w:lineRule="auto"/>
        <w:ind w:firstLine="708"/>
        <w:jc w:val="both"/>
        <w:rPr>
          <w:rFonts w:ascii="Calibri" w:hAnsi="Calibri" w:cs="Calibri"/>
          <w:color w:val="000000"/>
          <w:sz w:val="20"/>
          <w:szCs w:val="20"/>
        </w:rPr>
      </w:pPr>
      <w:r w:rsidRPr="000860A0">
        <w:rPr>
          <w:rFonts w:ascii="Calibri" w:hAnsi="Calibri" w:cs="Calibri"/>
          <w:color w:val="000000"/>
          <w:sz w:val="20"/>
          <w:szCs w:val="20"/>
        </w:rPr>
        <w:t>podle stavu, při exacerbaci KO a dif., CRP, FW</w:t>
      </w:r>
    </w:p>
    <w:p w14:paraId="1084DADD"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RTG S+P </w:t>
      </w:r>
    </w:p>
    <w:p w14:paraId="53CD1A04" w14:textId="77777777" w:rsidR="00A76922" w:rsidRPr="000860A0" w:rsidRDefault="00A76922" w:rsidP="00CA4582">
      <w:pPr>
        <w:pStyle w:val="Normln1"/>
        <w:spacing w:line="240" w:lineRule="auto"/>
        <w:ind w:left="708"/>
        <w:jc w:val="both"/>
        <w:rPr>
          <w:rFonts w:ascii="Calibri" w:hAnsi="Calibri" w:cs="Calibri"/>
          <w:color w:val="000000"/>
          <w:sz w:val="20"/>
          <w:szCs w:val="20"/>
        </w:rPr>
      </w:pPr>
      <w:r w:rsidRPr="000860A0">
        <w:rPr>
          <w:rFonts w:ascii="Calibri" w:hAnsi="Calibri" w:cs="Calibri"/>
          <w:color w:val="000000"/>
          <w:sz w:val="20"/>
          <w:szCs w:val="20"/>
        </w:rPr>
        <w:t>při exacerbaci, jinak event. 1x ročně – podle stavu</w:t>
      </w:r>
    </w:p>
    <w:p w14:paraId="7E6BDB19"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HRCT plic</w:t>
      </w:r>
    </w:p>
    <w:p w14:paraId="0AC15183" w14:textId="77777777" w:rsidR="00A76922" w:rsidRPr="000860A0" w:rsidRDefault="00A76922" w:rsidP="00CA4582">
      <w:pPr>
        <w:pStyle w:val="Normln1"/>
        <w:spacing w:line="240" w:lineRule="auto"/>
        <w:ind w:left="708"/>
        <w:jc w:val="both"/>
        <w:rPr>
          <w:rFonts w:ascii="Calibri" w:hAnsi="Calibri" w:cs="Calibri"/>
          <w:bCs/>
          <w:color w:val="000000"/>
          <w:sz w:val="20"/>
          <w:szCs w:val="20"/>
        </w:rPr>
      </w:pPr>
      <w:r w:rsidRPr="000860A0">
        <w:rPr>
          <w:rFonts w:ascii="Calibri" w:hAnsi="Calibri" w:cs="Calibri"/>
          <w:bCs/>
          <w:color w:val="000000"/>
          <w:sz w:val="20"/>
          <w:szCs w:val="20"/>
        </w:rPr>
        <w:t>při diagnóze (u dětí do 6 let věku podle stavu), při předání mezi dětským a dospělým specialistou</w:t>
      </w:r>
      <w:r>
        <w:rPr>
          <w:rFonts w:ascii="Calibri" w:hAnsi="Calibri" w:cs="Calibri"/>
          <w:bCs/>
          <w:color w:val="000000"/>
          <w:sz w:val="20"/>
          <w:szCs w:val="20"/>
        </w:rPr>
        <w:t>, j</w:t>
      </w:r>
      <w:r w:rsidRPr="000860A0">
        <w:rPr>
          <w:rFonts w:ascii="Calibri" w:hAnsi="Calibri" w:cs="Calibri"/>
          <w:bCs/>
          <w:color w:val="000000"/>
          <w:sz w:val="20"/>
          <w:szCs w:val="20"/>
        </w:rPr>
        <w:t>inak mezi tím podle stavu a vývoje, četnosti exacerbací, vývoje funkce plic</w:t>
      </w:r>
    </w:p>
    <w:p w14:paraId="3560B2C8"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Kardiologie </w:t>
      </w:r>
    </w:p>
    <w:p w14:paraId="59B7723B" w14:textId="77777777" w:rsidR="00A76922" w:rsidRPr="000860A0" w:rsidRDefault="00A76922" w:rsidP="00CA4582">
      <w:pPr>
        <w:pStyle w:val="Normln1"/>
        <w:spacing w:line="240" w:lineRule="auto"/>
        <w:ind w:left="708"/>
        <w:jc w:val="both"/>
        <w:rPr>
          <w:rFonts w:ascii="Calibri" w:hAnsi="Calibri" w:cs="Calibri"/>
          <w:color w:val="000000"/>
          <w:sz w:val="20"/>
          <w:szCs w:val="20"/>
        </w:rPr>
      </w:pPr>
      <w:r w:rsidRPr="000860A0">
        <w:rPr>
          <w:rFonts w:ascii="Calibri" w:hAnsi="Calibri" w:cs="Calibri"/>
          <w:color w:val="000000"/>
          <w:sz w:val="20"/>
          <w:szCs w:val="20"/>
        </w:rPr>
        <w:t>EKG + ECHO vždy u nově zjištěné dg. – vzhledem k poruchám laterality u části pacientů a zejm. vzhledem k vyššímu výskytu srdečních vad při PCD, další sledování pak podle indikace kardiologa, indikováno kardiologické sledování v případě respirační insuficience</w:t>
      </w:r>
    </w:p>
    <w:p w14:paraId="6DA61786" w14:textId="77777777" w:rsidR="00A76922"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Psychologie </w:t>
      </w:r>
    </w:p>
    <w:p w14:paraId="17E16492" w14:textId="77777777" w:rsidR="00A76922" w:rsidRDefault="00A76922" w:rsidP="001F53A1">
      <w:pPr>
        <w:pStyle w:val="Normln1"/>
        <w:numPr>
          <w:ilvl w:val="0"/>
          <w:numId w:val="4"/>
        </w:numPr>
        <w:spacing w:line="240" w:lineRule="auto"/>
        <w:jc w:val="both"/>
        <w:rPr>
          <w:rFonts w:ascii="Calibri" w:hAnsi="Calibri" w:cs="Calibri"/>
          <w:color w:val="000000"/>
          <w:sz w:val="20"/>
          <w:szCs w:val="20"/>
        </w:rPr>
      </w:pPr>
      <w:r>
        <w:rPr>
          <w:rFonts w:ascii="Calibri" w:hAnsi="Calibri" w:cs="Calibri"/>
          <w:color w:val="000000"/>
          <w:sz w:val="20"/>
          <w:szCs w:val="20"/>
        </w:rPr>
        <w:t>při edukačním pobytu nově diagnostikovaných dětí</w:t>
      </w:r>
    </w:p>
    <w:p w14:paraId="3CDBF64D" w14:textId="77777777" w:rsidR="00A76922" w:rsidRDefault="00A76922" w:rsidP="001F53A1">
      <w:pPr>
        <w:pStyle w:val="Normln1"/>
        <w:numPr>
          <w:ilvl w:val="0"/>
          <w:numId w:val="4"/>
        </w:numPr>
        <w:spacing w:line="240" w:lineRule="auto"/>
        <w:jc w:val="both"/>
        <w:rPr>
          <w:rFonts w:ascii="Calibri" w:hAnsi="Calibri" w:cs="Calibri"/>
          <w:color w:val="000000"/>
          <w:sz w:val="20"/>
          <w:szCs w:val="20"/>
        </w:rPr>
      </w:pPr>
      <w:r>
        <w:rPr>
          <w:rFonts w:ascii="Calibri" w:hAnsi="Calibri" w:cs="Calibri"/>
          <w:color w:val="000000"/>
          <w:sz w:val="20"/>
          <w:szCs w:val="20"/>
        </w:rPr>
        <w:t>zhoršení zdrav</w:t>
      </w:r>
      <w:r w:rsidR="00CE72B0">
        <w:rPr>
          <w:rFonts w:ascii="Calibri" w:hAnsi="Calibri" w:cs="Calibri"/>
          <w:color w:val="000000"/>
          <w:sz w:val="20"/>
          <w:szCs w:val="20"/>
        </w:rPr>
        <w:t>otního</w:t>
      </w:r>
      <w:r>
        <w:rPr>
          <w:rFonts w:ascii="Calibri" w:hAnsi="Calibri" w:cs="Calibri"/>
          <w:color w:val="000000"/>
          <w:sz w:val="20"/>
          <w:szCs w:val="20"/>
        </w:rPr>
        <w:t xml:space="preserve"> stavu, hypoxick</w:t>
      </w:r>
      <w:r w:rsidR="00CE72B0">
        <w:rPr>
          <w:rFonts w:ascii="Calibri" w:hAnsi="Calibri" w:cs="Calibri"/>
          <w:color w:val="000000"/>
          <w:sz w:val="20"/>
          <w:szCs w:val="20"/>
        </w:rPr>
        <w:t>é</w:t>
      </w:r>
      <w:r>
        <w:rPr>
          <w:rFonts w:ascii="Calibri" w:hAnsi="Calibri" w:cs="Calibri"/>
          <w:color w:val="000000"/>
          <w:sz w:val="20"/>
          <w:szCs w:val="20"/>
        </w:rPr>
        <w:t xml:space="preserve"> stav</w:t>
      </w:r>
      <w:r w:rsidR="00CE72B0">
        <w:rPr>
          <w:rFonts w:ascii="Calibri" w:hAnsi="Calibri" w:cs="Calibri"/>
          <w:color w:val="000000"/>
          <w:sz w:val="20"/>
          <w:szCs w:val="20"/>
        </w:rPr>
        <w:t>y</w:t>
      </w:r>
      <w:r>
        <w:rPr>
          <w:rFonts w:ascii="Calibri" w:hAnsi="Calibri" w:cs="Calibri"/>
          <w:color w:val="000000"/>
          <w:sz w:val="20"/>
          <w:szCs w:val="20"/>
        </w:rPr>
        <w:t>, prolongovaná hospitalizace</w:t>
      </w:r>
    </w:p>
    <w:p w14:paraId="5D84C9D4" w14:textId="77777777" w:rsidR="00A76922" w:rsidRDefault="00A76922" w:rsidP="001F53A1">
      <w:pPr>
        <w:pStyle w:val="Normln1"/>
        <w:numPr>
          <w:ilvl w:val="0"/>
          <w:numId w:val="4"/>
        </w:numPr>
        <w:spacing w:line="240" w:lineRule="auto"/>
        <w:jc w:val="both"/>
        <w:rPr>
          <w:rFonts w:ascii="Calibri" w:hAnsi="Calibri" w:cs="Calibri"/>
          <w:color w:val="000000"/>
          <w:sz w:val="20"/>
          <w:szCs w:val="20"/>
        </w:rPr>
      </w:pPr>
      <w:r>
        <w:rPr>
          <w:rFonts w:ascii="Calibri" w:hAnsi="Calibri" w:cs="Calibri"/>
          <w:color w:val="000000"/>
          <w:sz w:val="20"/>
          <w:szCs w:val="20"/>
        </w:rPr>
        <w:t>nonadherence k léčbě, potíže s přijetím dg</w:t>
      </w:r>
      <w:r w:rsidR="00CE72B0">
        <w:rPr>
          <w:rFonts w:ascii="Calibri" w:hAnsi="Calibri" w:cs="Calibri"/>
          <w:color w:val="000000"/>
          <w:sz w:val="20"/>
          <w:szCs w:val="20"/>
        </w:rPr>
        <w:t>.</w:t>
      </w:r>
    </w:p>
    <w:p w14:paraId="4A3FAC65" w14:textId="77777777" w:rsidR="00CE72B0" w:rsidRDefault="00A76922" w:rsidP="001F53A1">
      <w:pPr>
        <w:pStyle w:val="Normln1"/>
        <w:numPr>
          <w:ilvl w:val="0"/>
          <w:numId w:val="4"/>
        </w:numPr>
        <w:spacing w:line="240" w:lineRule="auto"/>
        <w:jc w:val="both"/>
        <w:rPr>
          <w:rFonts w:ascii="Calibri" w:hAnsi="Calibri" w:cs="Calibri"/>
          <w:color w:val="000000"/>
          <w:sz w:val="20"/>
          <w:szCs w:val="20"/>
        </w:rPr>
      </w:pPr>
      <w:r>
        <w:rPr>
          <w:rFonts w:ascii="Calibri" w:hAnsi="Calibri" w:cs="Calibri"/>
          <w:color w:val="000000"/>
          <w:sz w:val="20"/>
          <w:szCs w:val="20"/>
        </w:rPr>
        <w:t>psychologické nápadnosti v projevu či vývoji</w:t>
      </w:r>
    </w:p>
    <w:p w14:paraId="07C58B7E" w14:textId="77777777" w:rsidR="00A76922" w:rsidRPr="002C6CD5" w:rsidRDefault="00CE72B0" w:rsidP="002C6CD5">
      <w:pPr>
        <w:pStyle w:val="Normln1"/>
        <w:numPr>
          <w:ilvl w:val="0"/>
          <w:numId w:val="4"/>
        </w:numPr>
        <w:spacing w:line="240" w:lineRule="auto"/>
        <w:jc w:val="both"/>
        <w:rPr>
          <w:rFonts w:ascii="Calibri" w:hAnsi="Calibri" w:cs="Calibri"/>
          <w:color w:val="000000"/>
          <w:sz w:val="20"/>
          <w:szCs w:val="20"/>
        </w:rPr>
      </w:pPr>
      <w:r w:rsidRPr="00CE72B0">
        <w:rPr>
          <w:rFonts w:ascii="Calibri" w:hAnsi="Calibri" w:cs="Calibri"/>
          <w:color w:val="000000"/>
          <w:sz w:val="20"/>
          <w:szCs w:val="20"/>
        </w:rPr>
        <w:t>j</w:t>
      </w:r>
      <w:r w:rsidR="00A76922" w:rsidRPr="00CE72B0">
        <w:rPr>
          <w:rFonts w:ascii="Calibri" w:hAnsi="Calibri" w:cs="Calibri"/>
          <w:color w:val="000000"/>
          <w:sz w:val="20"/>
          <w:szCs w:val="20"/>
        </w:rPr>
        <w:t>inak dle potřeby</w:t>
      </w:r>
    </w:p>
    <w:p w14:paraId="40850A5C"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Nutriční terapeut</w:t>
      </w:r>
    </w:p>
    <w:p w14:paraId="4AEB3DFE" w14:textId="77777777" w:rsidR="00A76922" w:rsidRPr="000860A0" w:rsidRDefault="00A76922" w:rsidP="00CA4582">
      <w:pPr>
        <w:pStyle w:val="Normln1"/>
        <w:spacing w:line="240" w:lineRule="auto"/>
        <w:ind w:firstLine="708"/>
        <w:jc w:val="both"/>
        <w:rPr>
          <w:rFonts w:ascii="Calibri" w:hAnsi="Calibri" w:cs="Calibri"/>
          <w:color w:val="000000"/>
          <w:sz w:val="20"/>
          <w:szCs w:val="20"/>
        </w:rPr>
      </w:pPr>
      <w:r w:rsidRPr="000860A0">
        <w:rPr>
          <w:rFonts w:ascii="Calibri" w:hAnsi="Calibri" w:cs="Calibri"/>
          <w:color w:val="000000"/>
          <w:sz w:val="20"/>
          <w:szCs w:val="20"/>
        </w:rPr>
        <w:t>podle potřeby</w:t>
      </w:r>
    </w:p>
    <w:p w14:paraId="3DB6198F"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Antropometrie </w:t>
      </w:r>
    </w:p>
    <w:p w14:paraId="0DFF4617" w14:textId="77777777" w:rsidR="00A76922" w:rsidRPr="000860A0" w:rsidRDefault="00A76922" w:rsidP="00CA4582">
      <w:pPr>
        <w:pStyle w:val="Normln1"/>
        <w:spacing w:line="240" w:lineRule="auto"/>
        <w:ind w:firstLine="708"/>
        <w:jc w:val="both"/>
        <w:rPr>
          <w:rFonts w:ascii="Calibri" w:hAnsi="Calibri" w:cs="Calibri"/>
          <w:bCs/>
          <w:color w:val="000000"/>
          <w:sz w:val="20"/>
          <w:szCs w:val="20"/>
        </w:rPr>
      </w:pPr>
      <w:r w:rsidRPr="000860A0">
        <w:rPr>
          <w:rFonts w:ascii="Calibri" w:hAnsi="Calibri" w:cs="Calibri"/>
          <w:bCs/>
          <w:color w:val="000000"/>
          <w:sz w:val="20"/>
          <w:szCs w:val="20"/>
        </w:rPr>
        <w:t>1x za 1 – 2 roky do ukončení růstu, dále podle stavu výživy</w:t>
      </w:r>
    </w:p>
    <w:p w14:paraId="15308A3E"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 </w:t>
      </w:r>
    </w:p>
    <w:p w14:paraId="0234349C" w14:textId="77777777" w:rsidR="00A76922" w:rsidRPr="00A551C3" w:rsidRDefault="00A76922" w:rsidP="00CA4582">
      <w:pPr>
        <w:pStyle w:val="Normln1"/>
        <w:spacing w:line="240" w:lineRule="auto"/>
        <w:jc w:val="both"/>
        <w:rPr>
          <w:rFonts w:ascii="Calibri" w:hAnsi="Calibri" w:cs="Calibri"/>
          <w:b/>
          <w:color w:val="000000"/>
          <w:sz w:val="20"/>
          <w:szCs w:val="20"/>
        </w:rPr>
      </w:pPr>
      <w:r w:rsidRPr="00A551C3">
        <w:rPr>
          <w:rFonts w:ascii="Calibri" w:hAnsi="Calibri" w:cs="Calibri"/>
          <w:b/>
          <w:color w:val="000000"/>
          <w:sz w:val="20"/>
          <w:szCs w:val="20"/>
        </w:rPr>
        <w:t xml:space="preserve">Souhrn z kontroly </w:t>
      </w:r>
    </w:p>
    <w:p w14:paraId="27D2EE1C" w14:textId="77777777" w:rsidR="00A76922" w:rsidRPr="000860A0" w:rsidRDefault="00A76922" w:rsidP="00CA4582">
      <w:pPr>
        <w:pStyle w:val="Normln1"/>
        <w:spacing w:line="240" w:lineRule="auto"/>
        <w:jc w:val="both"/>
        <w:rPr>
          <w:rFonts w:ascii="Calibri" w:hAnsi="Calibri" w:cs="Calibri"/>
          <w:color w:val="000000"/>
          <w:sz w:val="20"/>
          <w:szCs w:val="20"/>
        </w:rPr>
      </w:pPr>
      <w:r>
        <w:rPr>
          <w:rFonts w:ascii="Calibri" w:hAnsi="Calibri" w:cs="Calibri"/>
          <w:color w:val="000000"/>
          <w:sz w:val="20"/>
          <w:szCs w:val="20"/>
        </w:rPr>
        <w:t>O</w:t>
      </w:r>
      <w:r w:rsidRPr="000860A0">
        <w:rPr>
          <w:rFonts w:ascii="Calibri" w:hAnsi="Calibri" w:cs="Calibri"/>
          <w:color w:val="000000"/>
          <w:sz w:val="20"/>
          <w:szCs w:val="20"/>
        </w:rPr>
        <w:t xml:space="preserve">becné zhodnocení celkového stavu, aktuální mikrobiální kolonizace, funkce plic, </w:t>
      </w:r>
      <w:r>
        <w:rPr>
          <w:rFonts w:ascii="Calibri" w:hAnsi="Calibri" w:cs="Calibri"/>
          <w:color w:val="000000"/>
          <w:sz w:val="20"/>
          <w:szCs w:val="20"/>
        </w:rPr>
        <w:t>adherence</w:t>
      </w:r>
      <w:r w:rsidRPr="000860A0">
        <w:rPr>
          <w:rFonts w:ascii="Calibri" w:hAnsi="Calibri" w:cs="Calibri"/>
          <w:color w:val="000000"/>
          <w:sz w:val="20"/>
          <w:szCs w:val="20"/>
        </w:rPr>
        <w:t> </w:t>
      </w:r>
      <w:r>
        <w:rPr>
          <w:rFonts w:ascii="Calibri" w:hAnsi="Calibri" w:cs="Calibri"/>
          <w:color w:val="000000"/>
          <w:sz w:val="20"/>
          <w:szCs w:val="20"/>
        </w:rPr>
        <w:t xml:space="preserve">k </w:t>
      </w:r>
      <w:r w:rsidRPr="000860A0">
        <w:rPr>
          <w:rFonts w:ascii="Calibri" w:hAnsi="Calibri" w:cs="Calibri"/>
          <w:color w:val="000000"/>
          <w:sz w:val="20"/>
          <w:szCs w:val="20"/>
        </w:rPr>
        <w:t>léčbě…</w:t>
      </w:r>
    </w:p>
    <w:p w14:paraId="62056CCF" w14:textId="77777777" w:rsidR="00A76922" w:rsidRPr="000860A0" w:rsidRDefault="00A76922" w:rsidP="00CA4582">
      <w:pPr>
        <w:pStyle w:val="Normln1"/>
        <w:spacing w:line="240" w:lineRule="auto"/>
        <w:jc w:val="both"/>
        <w:rPr>
          <w:rFonts w:ascii="Calibri" w:hAnsi="Calibri" w:cs="Calibri"/>
          <w:color w:val="000000"/>
          <w:sz w:val="20"/>
          <w:szCs w:val="20"/>
        </w:rPr>
      </w:pPr>
    </w:p>
    <w:p w14:paraId="052C1A5E" w14:textId="77777777" w:rsidR="00A76922" w:rsidRPr="000860A0" w:rsidRDefault="00A76922" w:rsidP="00CA4582">
      <w:pPr>
        <w:pStyle w:val="Normln1"/>
        <w:spacing w:line="240" w:lineRule="auto"/>
        <w:jc w:val="both"/>
        <w:rPr>
          <w:rFonts w:ascii="Calibri" w:hAnsi="Calibri" w:cs="Calibri"/>
          <w:b/>
          <w:color w:val="000000"/>
          <w:sz w:val="20"/>
          <w:szCs w:val="20"/>
        </w:rPr>
      </w:pPr>
      <w:r w:rsidRPr="000860A0">
        <w:rPr>
          <w:rFonts w:ascii="Calibri" w:hAnsi="Calibri" w:cs="Calibri"/>
          <w:b/>
          <w:color w:val="000000"/>
          <w:sz w:val="20"/>
          <w:szCs w:val="20"/>
        </w:rPr>
        <w:t>Diagnóza</w:t>
      </w:r>
    </w:p>
    <w:p w14:paraId="07FC4179" w14:textId="77777777" w:rsidR="00A76922" w:rsidRPr="00CA4582" w:rsidRDefault="00E769DE" w:rsidP="00CA4582">
      <w:pPr>
        <w:pStyle w:val="Normln1"/>
        <w:spacing w:line="240" w:lineRule="auto"/>
        <w:jc w:val="both"/>
        <w:rPr>
          <w:rFonts w:ascii="Calibri" w:hAnsi="Calibri" w:cs="Calibri"/>
          <w:bCs/>
          <w:color w:val="000000"/>
          <w:sz w:val="20"/>
          <w:szCs w:val="20"/>
        </w:rPr>
      </w:pPr>
      <w:r>
        <w:rPr>
          <w:rFonts w:ascii="Calibri" w:hAnsi="Calibri" w:cs="Calibri"/>
          <w:bCs/>
          <w:color w:val="000000"/>
          <w:sz w:val="20"/>
          <w:szCs w:val="20"/>
        </w:rPr>
        <w:t>V</w:t>
      </w:r>
      <w:r w:rsidR="00A76922" w:rsidRPr="00CA4582">
        <w:rPr>
          <w:rFonts w:ascii="Calibri" w:hAnsi="Calibri" w:cs="Calibri"/>
          <w:bCs/>
          <w:color w:val="000000"/>
          <w:sz w:val="20"/>
          <w:szCs w:val="20"/>
        </w:rPr>
        <w:t>ývoj stavu, plicních funkcí</w:t>
      </w:r>
    </w:p>
    <w:p w14:paraId="736870B5" w14:textId="77777777" w:rsidR="00A76922" w:rsidRPr="00CA4582" w:rsidRDefault="00A76922" w:rsidP="00CA4582">
      <w:pPr>
        <w:pStyle w:val="Normln1"/>
        <w:spacing w:line="240" w:lineRule="auto"/>
        <w:jc w:val="both"/>
        <w:rPr>
          <w:rFonts w:ascii="Calibri" w:hAnsi="Calibri" w:cs="Calibri"/>
          <w:bCs/>
          <w:color w:val="000000"/>
          <w:sz w:val="20"/>
          <w:szCs w:val="20"/>
        </w:rPr>
      </w:pPr>
    </w:p>
    <w:p w14:paraId="08B8C0F9" w14:textId="77777777" w:rsidR="00A76922" w:rsidRPr="000860A0" w:rsidRDefault="00A76922" w:rsidP="00CA4582">
      <w:pPr>
        <w:pStyle w:val="Normln1"/>
        <w:spacing w:line="240" w:lineRule="auto"/>
        <w:jc w:val="both"/>
        <w:rPr>
          <w:rFonts w:ascii="Calibri" w:hAnsi="Calibri" w:cs="Calibri"/>
          <w:b/>
          <w:color w:val="000000"/>
          <w:sz w:val="20"/>
          <w:szCs w:val="20"/>
        </w:rPr>
      </w:pPr>
      <w:r w:rsidRPr="000860A0">
        <w:rPr>
          <w:rFonts w:ascii="Calibri" w:hAnsi="Calibri" w:cs="Calibri"/>
          <w:b/>
          <w:color w:val="000000"/>
          <w:sz w:val="20"/>
          <w:szCs w:val="20"/>
        </w:rPr>
        <w:t>Event. i souhrn:</w:t>
      </w:r>
    </w:p>
    <w:p w14:paraId="32CFD59E"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PCD (EM, genetika)</w:t>
      </w:r>
    </w:p>
    <w:p w14:paraId="6A42DAF9"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Porucha laterality (situs viscerum inversus, dextrokardie…)</w:t>
      </w:r>
    </w:p>
    <w:p w14:paraId="21D774BA"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Vrozené vady</w:t>
      </w:r>
    </w:p>
    <w:p w14:paraId="61A5B71F"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Plicní postižení vč. lokalizace (chronická bronchitida, bronchiektázie, atelektázy…)</w:t>
      </w:r>
    </w:p>
    <w:p w14:paraId="2D6EF8E7"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Přehled </w:t>
      </w:r>
      <w:r>
        <w:rPr>
          <w:rFonts w:ascii="Calibri" w:hAnsi="Calibri" w:cs="Calibri"/>
          <w:color w:val="000000"/>
          <w:sz w:val="20"/>
          <w:szCs w:val="20"/>
        </w:rPr>
        <w:t>mikrobiálního osídlení</w:t>
      </w:r>
      <w:r w:rsidRPr="000860A0">
        <w:rPr>
          <w:rFonts w:ascii="Calibri" w:hAnsi="Calibri" w:cs="Calibri"/>
          <w:color w:val="000000"/>
          <w:sz w:val="20"/>
          <w:szCs w:val="20"/>
        </w:rPr>
        <w:t xml:space="preserve"> (PSA vč. data)</w:t>
      </w:r>
    </w:p>
    <w:p w14:paraId="154F8B30"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ORL diagnózy (chronická sekretorická otitida, porucha sluchu, rinosinusitida, st.p. operacích…)</w:t>
      </w:r>
    </w:p>
    <w:p w14:paraId="279B7F0A"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Další přidružené choroby a komplikace </w:t>
      </w:r>
    </w:p>
    <w:p w14:paraId="13656ADE"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Alergie</w:t>
      </w:r>
    </w:p>
    <w:p w14:paraId="34C17E05"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Event. </w:t>
      </w:r>
      <w:r>
        <w:rPr>
          <w:rFonts w:ascii="Calibri" w:hAnsi="Calibri" w:cs="Calibri"/>
          <w:color w:val="000000"/>
          <w:sz w:val="20"/>
          <w:szCs w:val="20"/>
        </w:rPr>
        <w:t xml:space="preserve">další </w:t>
      </w:r>
      <w:r w:rsidRPr="000860A0">
        <w:rPr>
          <w:rFonts w:ascii="Calibri" w:hAnsi="Calibri" w:cs="Calibri"/>
          <w:color w:val="000000"/>
          <w:sz w:val="20"/>
          <w:szCs w:val="20"/>
        </w:rPr>
        <w:t>závažn</w:t>
      </w:r>
      <w:r>
        <w:rPr>
          <w:rFonts w:ascii="Calibri" w:hAnsi="Calibri" w:cs="Calibri"/>
          <w:color w:val="000000"/>
          <w:sz w:val="20"/>
          <w:szCs w:val="20"/>
        </w:rPr>
        <w:t>é</w:t>
      </w:r>
      <w:r w:rsidRPr="000860A0">
        <w:rPr>
          <w:rFonts w:ascii="Calibri" w:hAnsi="Calibri" w:cs="Calibri"/>
          <w:color w:val="000000"/>
          <w:sz w:val="20"/>
          <w:szCs w:val="20"/>
        </w:rPr>
        <w:t xml:space="preserve"> údaj</w:t>
      </w:r>
      <w:r>
        <w:rPr>
          <w:rFonts w:ascii="Calibri" w:hAnsi="Calibri" w:cs="Calibri"/>
          <w:color w:val="000000"/>
          <w:sz w:val="20"/>
          <w:szCs w:val="20"/>
        </w:rPr>
        <w:t>e</w:t>
      </w:r>
      <w:r w:rsidRPr="000860A0">
        <w:rPr>
          <w:rFonts w:ascii="Calibri" w:hAnsi="Calibri" w:cs="Calibri"/>
          <w:color w:val="000000"/>
          <w:sz w:val="20"/>
          <w:szCs w:val="20"/>
        </w:rPr>
        <w:t xml:space="preserve"> z</w:t>
      </w:r>
      <w:r>
        <w:rPr>
          <w:rFonts w:ascii="Calibri" w:hAnsi="Calibri" w:cs="Calibri"/>
          <w:color w:val="000000"/>
          <w:sz w:val="20"/>
          <w:szCs w:val="20"/>
        </w:rPr>
        <w:t xml:space="preserve"> OA, </w:t>
      </w:r>
      <w:r w:rsidRPr="000860A0">
        <w:rPr>
          <w:rFonts w:ascii="Calibri" w:hAnsi="Calibri" w:cs="Calibri"/>
          <w:color w:val="000000"/>
          <w:sz w:val="20"/>
          <w:szCs w:val="20"/>
        </w:rPr>
        <w:t>RA</w:t>
      </w:r>
    </w:p>
    <w:p w14:paraId="7E0C6892" w14:textId="77777777" w:rsidR="00A76922" w:rsidRPr="000860A0" w:rsidRDefault="00A76922" w:rsidP="00CA4582">
      <w:pPr>
        <w:pStyle w:val="Normln1"/>
        <w:spacing w:line="240" w:lineRule="auto"/>
        <w:jc w:val="both"/>
        <w:rPr>
          <w:rFonts w:ascii="Calibri" w:hAnsi="Calibri" w:cs="Calibri"/>
          <w:color w:val="000000"/>
          <w:sz w:val="20"/>
          <w:szCs w:val="20"/>
        </w:rPr>
      </w:pPr>
    </w:p>
    <w:p w14:paraId="3D149250"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PICADAR</w:t>
      </w:r>
    </w:p>
    <w:p w14:paraId="593DE8D8"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lastRenderedPageBreak/>
        <w:t>Klinický index</w:t>
      </w:r>
    </w:p>
    <w:p w14:paraId="371A81E2" w14:textId="77777777" w:rsidR="00A76922" w:rsidRPr="000860A0" w:rsidRDefault="00A76922" w:rsidP="00CA4582">
      <w:pPr>
        <w:pStyle w:val="Normln1"/>
        <w:spacing w:line="240" w:lineRule="auto"/>
        <w:jc w:val="both"/>
        <w:rPr>
          <w:rFonts w:ascii="Calibri" w:hAnsi="Calibri" w:cs="Calibri"/>
          <w:color w:val="000000"/>
          <w:sz w:val="20"/>
          <w:szCs w:val="20"/>
        </w:rPr>
      </w:pPr>
    </w:p>
    <w:p w14:paraId="0EF585A9" w14:textId="77777777" w:rsidR="00A76922" w:rsidRPr="000860A0" w:rsidRDefault="00A76922" w:rsidP="00CA4582">
      <w:pPr>
        <w:pStyle w:val="Normln1"/>
        <w:spacing w:line="240" w:lineRule="auto"/>
        <w:jc w:val="both"/>
        <w:rPr>
          <w:rFonts w:ascii="Calibri" w:hAnsi="Calibri" w:cs="Calibri"/>
          <w:b/>
          <w:color w:val="000000"/>
          <w:sz w:val="20"/>
          <w:szCs w:val="20"/>
        </w:rPr>
      </w:pPr>
      <w:r w:rsidRPr="000860A0">
        <w:rPr>
          <w:rFonts w:ascii="Calibri" w:hAnsi="Calibri" w:cs="Calibri"/>
          <w:b/>
          <w:color w:val="000000"/>
          <w:sz w:val="20"/>
          <w:szCs w:val="20"/>
        </w:rPr>
        <w:t>Doporučení</w:t>
      </w:r>
    </w:p>
    <w:p w14:paraId="7C154D9A" w14:textId="77777777" w:rsidR="00A76922" w:rsidRPr="000860A0" w:rsidRDefault="00A76922" w:rsidP="00CA4582">
      <w:pPr>
        <w:pStyle w:val="Normln1"/>
        <w:numPr>
          <w:ilvl w:val="0"/>
          <w:numId w:val="3"/>
        </w:numPr>
        <w:spacing w:line="240" w:lineRule="auto"/>
        <w:rPr>
          <w:rFonts w:ascii="Calibri" w:hAnsi="Calibri" w:cs="Calibri"/>
          <w:color w:val="000000"/>
          <w:sz w:val="20"/>
          <w:szCs w:val="20"/>
        </w:rPr>
      </w:pPr>
      <w:r w:rsidRPr="000860A0">
        <w:rPr>
          <w:rFonts w:ascii="Calibri" w:hAnsi="Calibri" w:cs="Calibri"/>
          <w:color w:val="000000"/>
          <w:sz w:val="20"/>
          <w:szCs w:val="20"/>
        </w:rPr>
        <w:t>zopakovat kompletní terapii se zdůrazněním změn, zdůraznit nutnost inhalací a intenzivní fyzioterapie, která je podstatou léčby při této dg., nutnost včasné léčby infektů</w:t>
      </w:r>
    </w:p>
    <w:p w14:paraId="584F0966" w14:textId="77777777" w:rsidR="00A76922" w:rsidRPr="000860A0" w:rsidRDefault="00A76922" w:rsidP="00CA4582">
      <w:pPr>
        <w:pStyle w:val="Normln1"/>
        <w:numPr>
          <w:ilvl w:val="0"/>
          <w:numId w:val="3"/>
        </w:numPr>
        <w:spacing w:line="240" w:lineRule="auto"/>
        <w:jc w:val="both"/>
        <w:rPr>
          <w:rFonts w:ascii="Calibri" w:hAnsi="Calibri" w:cs="Calibri"/>
          <w:color w:val="000000"/>
          <w:sz w:val="20"/>
          <w:szCs w:val="20"/>
        </w:rPr>
      </w:pPr>
      <w:r w:rsidRPr="000860A0">
        <w:rPr>
          <w:rFonts w:ascii="Calibri" w:hAnsi="Calibri" w:cs="Calibri"/>
          <w:color w:val="000000"/>
          <w:sz w:val="20"/>
          <w:szCs w:val="20"/>
        </w:rPr>
        <w:t>plán na příště, termín kontroly</w:t>
      </w:r>
    </w:p>
    <w:p w14:paraId="6B288304" w14:textId="77777777" w:rsidR="00A76922" w:rsidRPr="000860A0" w:rsidRDefault="00A76922" w:rsidP="00CA4582">
      <w:pPr>
        <w:pStyle w:val="Normln1"/>
        <w:spacing w:line="240" w:lineRule="auto"/>
        <w:jc w:val="both"/>
        <w:rPr>
          <w:rFonts w:ascii="Calibri" w:hAnsi="Calibri" w:cs="Calibri"/>
          <w:color w:val="000000"/>
          <w:sz w:val="20"/>
          <w:szCs w:val="20"/>
        </w:rPr>
      </w:pPr>
    </w:p>
    <w:p w14:paraId="0C371F0D" w14:textId="77777777" w:rsidR="00A76922" w:rsidRPr="000860A0" w:rsidRDefault="00A76922" w:rsidP="00CA4582">
      <w:pPr>
        <w:pStyle w:val="Normln1"/>
        <w:spacing w:line="240" w:lineRule="auto"/>
        <w:jc w:val="both"/>
        <w:rPr>
          <w:rFonts w:ascii="Calibri" w:hAnsi="Calibri" w:cs="Calibri"/>
          <w:color w:val="000000"/>
          <w:sz w:val="20"/>
          <w:szCs w:val="20"/>
        </w:rPr>
      </w:pPr>
    </w:p>
    <w:p w14:paraId="39AEED18" w14:textId="77777777" w:rsidR="00A76922" w:rsidRPr="006C6C27" w:rsidRDefault="00A76922" w:rsidP="00CA4582">
      <w:pPr>
        <w:pStyle w:val="Normln1"/>
        <w:spacing w:line="240" w:lineRule="auto"/>
        <w:jc w:val="both"/>
        <w:rPr>
          <w:rFonts w:ascii="Calibri" w:hAnsi="Calibri" w:cs="Calibri"/>
          <w:b/>
          <w:bCs/>
          <w:color w:val="000000"/>
          <w:sz w:val="20"/>
          <w:szCs w:val="20"/>
          <w:u w:val="single"/>
        </w:rPr>
      </w:pPr>
      <w:r w:rsidRPr="006C6C27">
        <w:rPr>
          <w:rFonts w:ascii="Calibri" w:hAnsi="Calibri" w:cs="Calibri"/>
          <w:b/>
          <w:bCs/>
          <w:color w:val="000000"/>
          <w:sz w:val="20"/>
          <w:szCs w:val="20"/>
          <w:u w:val="single"/>
        </w:rPr>
        <w:t>Doporučení péče:</w:t>
      </w:r>
    </w:p>
    <w:p w14:paraId="06CA947A" w14:textId="77777777" w:rsidR="00A76922" w:rsidRPr="000860A0" w:rsidRDefault="00A76922" w:rsidP="00CA4582">
      <w:pPr>
        <w:pStyle w:val="Normln1"/>
        <w:spacing w:line="240" w:lineRule="auto"/>
        <w:jc w:val="both"/>
        <w:rPr>
          <w:rFonts w:ascii="Calibri" w:hAnsi="Calibri" w:cs="Calibri"/>
          <w:color w:val="000000"/>
          <w:sz w:val="20"/>
          <w:szCs w:val="20"/>
        </w:rPr>
      </w:pPr>
    </w:p>
    <w:p w14:paraId="24AECF3C" w14:textId="77777777" w:rsidR="00A76922" w:rsidRPr="000860A0" w:rsidRDefault="00A76922" w:rsidP="00CA4582">
      <w:pPr>
        <w:pStyle w:val="Normln1"/>
        <w:spacing w:line="240" w:lineRule="auto"/>
        <w:jc w:val="both"/>
        <w:rPr>
          <w:rFonts w:ascii="Calibri" w:hAnsi="Calibri" w:cs="Calibri"/>
          <w:color w:val="000000"/>
          <w:sz w:val="20"/>
          <w:szCs w:val="20"/>
          <w:u w:val="single"/>
        </w:rPr>
      </w:pPr>
      <w:r w:rsidRPr="000860A0">
        <w:rPr>
          <w:rFonts w:ascii="Calibri" w:hAnsi="Calibri" w:cs="Calibri"/>
          <w:color w:val="000000"/>
          <w:sz w:val="20"/>
          <w:szCs w:val="20"/>
        </w:rPr>
        <w:t xml:space="preserve">- </w:t>
      </w:r>
      <w:r w:rsidRPr="000860A0">
        <w:rPr>
          <w:rFonts w:ascii="Calibri" w:hAnsi="Calibri" w:cs="Calibri"/>
          <w:color w:val="000000"/>
          <w:sz w:val="20"/>
          <w:szCs w:val="20"/>
          <w:u w:val="single"/>
        </w:rPr>
        <w:t>pravidelné pneumologické sledování - kontroly á 3 měsíce!</w:t>
      </w:r>
    </w:p>
    <w:p w14:paraId="6150EC23"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při respiračním infektu, exacerbaci (změna barvy sputa, větší množství sputa, zhoršený kašel, zhoršení poslechového nálezu na plicích, horečka…) vždy nutná včasná cílená ATB léčba, vždy ihned kultivační vyšetření sputa, volba ATB podle dostupných známých mikrobiologických výsledků, dále úprava léčby podle výsledku aktuální kultivace a podle vývoje stavu, délka léčby minimálně 2 týdny min., při infektu doporučit zvýšit frekvenci inhalací solného roztoku, možno event. přidat také další mukolytika, např. ACC tbl. nebo Erdomed</w:t>
      </w:r>
    </w:p>
    <w:p w14:paraId="787FF585" w14:textId="165F0953"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 ke zvážení ATB profylaxe, zejména přes zimní sezonu - podle stavu, plicního postižení, nálezu na CT plic, podle exacerbací a kultivačních nálezů, zejména u pacientů s bronchiektáziemi (zejm. Azithromycin, event. Cotrimoxazol, v některých případech i Amoxicilin nebo Amox.-klavulanát, při kolonizaci PSA vždy doporučena inhalace s Colomycinem 2x denně 1 amp. do očištěných plic, ke zvážení také Bramitob inhal. v cyklech </w:t>
      </w:r>
    </w:p>
    <w:p w14:paraId="5FFAE45A"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protiastmatická léčba je indikována pouze v případě prokázané bronchiální hyperreaktivity či souběhu s klinickými projevy astmatu, indikace podle ošetřujícího pneumologa</w:t>
      </w:r>
    </w:p>
    <w:p w14:paraId="37174669" w14:textId="77777777" w:rsidR="00A76922" w:rsidRPr="000860A0" w:rsidRDefault="00A76922" w:rsidP="00CA4582">
      <w:pPr>
        <w:pStyle w:val="Normln1"/>
        <w:spacing w:line="240" w:lineRule="auto"/>
        <w:jc w:val="both"/>
        <w:rPr>
          <w:rFonts w:ascii="Calibri" w:hAnsi="Calibri" w:cs="Calibri"/>
          <w:color w:val="000000"/>
          <w:sz w:val="20"/>
          <w:szCs w:val="20"/>
        </w:rPr>
      </w:pPr>
    </w:p>
    <w:p w14:paraId="12F4EB56" w14:textId="77777777" w:rsidR="00A83EA9" w:rsidRPr="00A83EA9" w:rsidRDefault="00A76922" w:rsidP="00A83EA9">
      <w:pPr>
        <w:rPr>
          <w:rFonts w:asciiTheme="minorHAnsi" w:eastAsia="Times New Roman" w:hAnsiTheme="minorHAnsi" w:cstheme="minorHAnsi"/>
          <w:color w:val="000000"/>
          <w:sz w:val="20"/>
          <w:szCs w:val="20"/>
          <w:lang w:eastAsia="cs-CZ"/>
        </w:rPr>
      </w:pPr>
      <w:r w:rsidRPr="000860A0">
        <w:rPr>
          <w:rFonts w:cs="Calibri"/>
          <w:color w:val="000000"/>
          <w:sz w:val="20"/>
          <w:szCs w:val="20"/>
        </w:rPr>
        <w:t xml:space="preserve">- </w:t>
      </w:r>
      <w:r w:rsidR="00A83EA9" w:rsidRPr="00A83EA9">
        <w:rPr>
          <w:rFonts w:asciiTheme="minorHAnsi" w:eastAsia="Times New Roman" w:hAnsiTheme="minorHAnsi" w:cstheme="minorHAnsi"/>
          <w:color w:val="000000"/>
          <w:sz w:val="20"/>
          <w:szCs w:val="20"/>
          <w:u w:val="single"/>
          <w:lang w:eastAsia="cs-CZ"/>
        </w:rPr>
        <w:t>nutná intenzivní inhalační mukolytická léčba a dechová fyzioterapie zaměřená na </w:t>
      </w:r>
      <w:r w:rsidR="00A83EA9" w:rsidRPr="00A83EA9">
        <w:rPr>
          <w:rFonts w:asciiTheme="minorHAnsi" w:eastAsia="Times New Roman" w:hAnsiTheme="minorHAnsi" w:cstheme="minorHAnsi"/>
          <w:color w:val="000000"/>
          <w:sz w:val="20"/>
          <w:szCs w:val="20"/>
          <w:u w:val="single"/>
          <w:shd w:val="clear" w:color="auto" w:fill="FFFFFF"/>
          <w:lang w:eastAsia="cs-CZ"/>
        </w:rPr>
        <w:t>podporu očisty horních</w:t>
      </w:r>
      <w:r w:rsidR="00A83EA9" w:rsidRPr="00A83EA9">
        <w:rPr>
          <w:rFonts w:asciiTheme="minorHAnsi" w:eastAsia="Times New Roman" w:hAnsiTheme="minorHAnsi" w:cstheme="minorHAnsi"/>
          <w:color w:val="000000"/>
          <w:sz w:val="20"/>
          <w:szCs w:val="20"/>
          <w:shd w:val="clear" w:color="auto" w:fill="FFFFFF"/>
          <w:lang w:eastAsia="cs-CZ"/>
        </w:rPr>
        <w:t xml:space="preserve"> (proplachy konvičkou Rhinohorn nebo Respimer) </w:t>
      </w:r>
      <w:r w:rsidR="00A83EA9" w:rsidRPr="00A83EA9">
        <w:rPr>
          <w:rFonts w:asciiTheme="minorHAnsi" w:eastAsia="Times New Roman" w:hAnsiTheme="minorHAnsi" w:cstheme="minorHAnsi"/>
          <w:color w:val="000000"/>
          <w:sz w:val="20"/>
          <w:szCs w:val="20"/>
          <w:u w:val="single"/>
          <w:shd w:val="clear" w:color="auto" w:fill="FFFFFF"/>
          <w:lang w:eastAsia="cs-CZ"/>
        </w:rPr>
        <w:t>a dolních dýchacích cest</w:t>
      </w:r>
      <w:r w:rsidR="00A83EA9" w:rsidRPr="00A83EA9">
        <w:rPr>
          <w:rFonts w:asciiTheme="minorHAnsi" w:eastAsia="Times New Roman" w:hAnsiTheme="minorHAnsi" w:cstheme="minorHAnsi"/>
          <w:color w:val="000000"/>
          <w:sz w:val="20"/>
          <w:szCs w:val="20"/>
          <w:shd w:val="clear" w:color="auto" w:fill="FFFFFF"/>
          <w:lang w:eastAsia="cs-CZ"/>
        </w:rPr>
        <w:t> </w:t>
      </w:r>
      <w:r w:rsidR="00A83EA9" w:rsidRPr="00A83EA9">
        <w:rPr>
          <w:rFonts w:asciiTheme="minorHAnsi" w:eastAsia="Times New Roman" w:hAnsiTheme="minorHAnsi" w:cstheme="minorHAnsi"/>
          <w:color w:val="000000"/>
          <w:sz w:val="20"/>
          <w:szCs w:val="20"/>
          <w:lang w:eastAsia="cs-CZ"/>
        </w:rPr>
        <w:t>(na</w:t>
      </w:r>
      <w:r w:rsidR="00A83EA9" w:rsidRPr="00A83EA9">
        <w:rPr>
          <w:rFonts w:asciiTheme="minorHAnsi" w:eastAsia="Times New Roman" w:hAnsiTheme="minorHAnsi" w:cstheme="minorHAnsi"/>
          <w:color w:val="000000"/>
          <w:sz w:val="20"/>
          <w:szCs w:val="20"/>
          <w:shd w:val="clear" w:color="auto" w:fill="FFFFFF"/>
          <w:lang w:eastAsia="cs-CZ"/>
        </w:rPr>
        <w:t>př. pomůcky: </w:t>
      </w:r>
      <w:r w:rsidR="00A83EA9" w:rsidRPr="00A83EA9">
        <w:rPr>
          <w:rFonts w:asciiTheme="minorHAnsi" w:eastAsia="Times New Roman" w:hAnsiTheme="minorHAnsi" w:cstheme="minorHAnsi"/>
          <w:color w:val="000000"/>
          <w:sz w:val="20"/>
          <w:szCs w:val="20"/>
          <w:lang w:eastAsia="cs-CZ"/>
        </w:rPr>
        <w:t>Pari-O-PEP (flutter), Aca</w:t>
      </w:r>
      <w:r w:rsidR="00A83EA9" w:rsidRPr="00A83EA9">
        <w:rPr>
          <w:rFonts w:asciiTheme="minorHAnsi" w:eastAsia="Times New Roman" w:hAnsiTheme="minorHAnsi" w:cstheme="minorHAnsi"/>
          <w:color w:val="000000"/>
          <w:sz w:val="20"/>
          <w:szCs w:val="20"/>
          <w:shd w:val="clear" w:color="auto" w:fill="FFFFFF"/>
          <w:lang w:eastAsia="cs-CZ"/>
        </w:rPr>
        <w:t>pella a další</w:t>
      </w:r>
      <w:r w:rsidR="00A83EA9" w:rsidRPr="00A83EA9">
        <w:rPr>
          <w:rFonts w:asciiTheme="minorHAnsi" w:eastAsia="Times New Roman" w:hAnsiTheme="minorHAnsi" w:cstheme="minorHAnsi"/>
          <w:color w:val="000000"/>
          <w:sz w:val="20"/>
          <w:szCs w:val="20"/>
          <w:lang w:eastAsia="cs-CZ"/>
        </w:rPr>
        <w:t>)</w:t>
      </w:r>
    </w:p>
    <w:p w14:paraId="58F4F6C4" w14:textId="77777777" w:rsidR="00A83EA9" w:rsidRPr="00A83EA9" w:rsidRDefault="00A83EA9" w:rsidP="00A83EA9">
      <w:pPr>
        <w:rPr>
          <w:rFonts w:asciiTheme="minorHAnsi" w:hAnsiTheme="minorHAnsi" w:cstheme="minorHAnsi"/>
          <w:color w:val="000000"/>
          <w:sz w:val="20"/>
          <w:szCs w:val="20"/>
        </w:rPr>
      </w:pPr>
      <w:r w:rsidRPr="00A83EA9">
        <w:rPr>
          <w:rFonts w:asciiTheme="minorHAnsi" w:eastAsia="Times New Roman" w:hAnsiTheme="minorHAnsi" w:cstheme="minorHAnsi"/>
          <w:color w:val="000000"/>
          <w:sz w:val="20"/>
          <w:szCs w:val="20"/>
          <w:lang w:eastAsia="cs-CZ"/>
        </w:rPr>
        <w:t xml:space="preserve">- </w:t>
      </w:r>
      <w:r w:rsidR="00A76922" w:rsidRPr="00A83EA9">
        <w:rPr>
          <w:rFonts w:asciiTheme="minorHAnsi" w:hAnsiTheme="minorHAnsi" w:cstheme="minorHAnsi"/>
          <w:color w:val="000000"/>
          <w:sz w:val="20"/>
          <w:szCs w:val="20"/>
        </w:rPr>
        <w:t>doporučený inhalátor nejlépe Pari</w:t>
      </w:r>
      <w:r w:rsidRPr="00A83EA9">
        <w:rPr>
          <w:rFonts w:asciiTheme="minorHAnsi" w:hAnsiTheme="minorHAnsi" w:cstheme="minorHAnsi"/>
          <w:color w:val="000000"/>
          <w:sz w:val="20"/>
          <w:szCs w:val="20"/>
        </w:rPr>
        <w:t xml:space="preserve"> sinus</w:t>
      </w:r>
      <w:r w:rsidR="00A76922" w:rsidRPr="00A83EA9">
        <w:rPr>
          <w:rFonts w:asciiTheme="minorHAnsi" w:hAnsiTheme="minorHAnsi" w:cstheme="minorHAnsi"/>
          <w:color w:val="000000"/>
          <w:sz w:val="20"/>
          <w:szCs w:val="20"/>
        </w:rPr>
        <w:t xml:space="preserve"> (k němu je třeba </w:t>
      </w:r>
      <w:r>
        <w:rPr>
          <w:rFonts w:asciiTheme="minorHAnsi" w:hAnsiTheme="minorHAnsi" w:cstheme="minorHAnsi"/>
          <w:color w:val="000000"/>
          <w:sz w:val="20"/>
          <w:szCs w:val="20"/>
        </w:rPr>
        <w:t xml:space="preserve">kromě žádosti na pojišťovnu </w:t>
      </w:r>
      <w:r w:rsidR="00A76922" w:rsidRPr="00A83EA9">
        <w:rPr>
          <w:rFonts w:asciiTheme="minorHAnsi" w:hAnsiTheme="minorHAnsi" w:cstheme="minorHAnsi"/>
          <w:color w:val="000000"/>
          <w:sz w:val="20"/>
          <w:szCs w:val="20"/>
        </w:rPr>
        <w:t xml:space="preserve">vypsat </w:t>
      </w:r>
      <w:r>
        <w:rPr>
          <w:rFonts w:asciiTheme="minorHAnsi" w:hAnsiTheme="minorHAnsi" w:cstheme="minorHAnsi"/>
          <w:color w:val="000000"/>
          <w:sz w:val="20"/>
          <w:szCs w:val="20"/>
        </w:rPr>
        <w:t xml:space="preserve">také zvlášť </w:t>
      </w:r>
      <w:r w:rsidR="00A76922" w:rsidRPr="00A83EA9">
        <w:rPr>
          <w:rFonts w:asciiTheme="minorHAnsi" w:hAnsiTheme="minorHAnsi" w:cstheme="minorHAnsi"/>
          <w:color w:val="000000"/>
          <w:sz w:val="20"/>
          <w:szCs w:val="20"/>
        </w:rPr>
        <w:t>poukaz k dalšímu příslušenství</w:t>
      </w:r>
      <w:r w:rsidRPr="00A83EA9">
        <w:rPr>
          <w:rFonts w:asciiTheme="minorHAnsi" w:hAnsiTheme="minorHAnsi" w:cstheme="minorHAnsi"/>
          <w:color w:val="000000"/>
          <w:sz w:val="20"/>
          <w:szCs w:val="20"/>
        </w:rPr>
        <w:t xml:space="preserve"> – Pari LC sprint</w:t>
      </w:r>
      <w:r w:rsidR="00A76922" w:rsidRPr="00A83EA9">
        <w:rPr>
          <w:rFonts w:asciiTheme="minorHAnsi" w:hAnsiTheme="minorHAnsi" w:cstheme="minorHAnsi"/>
          <w:color w:val="000000"/>
          <w:sz w:val="20"/>
          <w:szCs w:val="20"/>
        </w:rPr>
        <w:t xml:space="preserve">, aby měl pacient možnost střídat inhalace přes náustek i nos, tento inhalátor je vhodný zejména pro pacienty, u nichž je výrazněji vyjádřena i ORL problematika), </w:t>
      </w:r>
      <w:r w:rsidRPr="00A83EA9">
        <w:rPr>
          <w:rFonts w:asciiTheme="minorHAnsi" w:hAnsiTheme="minorHAnsi" w:cstheme="minorHAnsi"/>
          <w:color w:val="000000"/>
          <w:sz w:val="20"/>
          <w:szCs w:val="20"/>
        </w:rPr>
        <w:t>event. inhalátor Pari SX, u dětí do 5 let věku inhalátor Pari SX</w:t>
      </w:r>
    </w:p>
    <w:p w14:paraId="48ABA3B4" w14:textId="77777777" w:rsidR="00A83EA9" w:rsidRDefault="00A83EA9" w:rsidP="00A83EA9">
      <w:pPr>
        <w:rPr>
          <w:rFonts w:asciiTheme="minorHAnsi" w:hAnsiTheme="minorHAnsi" w:cstheme="minorHAnsi"/>
          <w:color w:val="000000"/>
          <w:sz w:val="20"/>
          <w:szCs w:val="20"/>
        </w:rPr>
      </w:pPr>
      <w:r w:rsidRPr="00A83EA9">
        <w:rPr>
          <w:rFonts w:asciiTheme="minorHAnsi" w:hAnsiTheme="minorHAnsi" w:cstheme="minorHAnsi"/>
          <w:color w:val="000000"/>
          <w:sz w:val="20"/>
          <w:szCs w:val="20"/>
        </w:rPr>
        <w:t xml:space="preserve">- </w:t>
      </w:r>
      <w:r w:rsidR="00A76922" w:rsidRPr="00A83EA9">
        <w:rPr>
          <w:rFonts w:asciiTheme="minorHAnsi" w:hAnsiTheme="minorHAnsi" w:cstheme="minorHAnsi"/>
          <w:color w:val="000000"/>
          <w:sz w:val="20"/>
          <w:szCs w:val="20"/>
        </w:rPr>
        <w:t xml:space="preserve">inhalace 3 – </w:t>
      </w:r>
      <w:r w:rsidR="00A76922" w:rsidRPr="00A83EA9">
        <w:rPr>
          <w:rFonts w:asciiTheme="minorHAnsi" w:hAnsiTheme="minorHAnsi" w:cstheme="minorHAnsi"/>
          <w:color w:val="000000"/>
          <w:sz w:val="20"/>
          <w:szCs w:val="20"/>
          <w:u w:val="single"/>
        </w:rPr>
        <w:t>6</w:t>
      </w:r>
      <w:r w:rsidR="00A76922" w:rsidRPr="00A83EA9">
        <w:rPr>
          <w:rFonts w:asciiTheme="minorHAnsi" w:hAnsiTheme="minorHAnsi" w:cstheme="minorHAnsi"/>
          <w:color w:val="000000"/>
          <w:sz w:val="20"/>
          <w:szCs w:val="20"/>
        </w:rPr>
        <w:t>% solného roztoku podle tolerance, alespoň 2x denně, možno použít jako premedikaci Ventolin 2 - 4 vstřiky inh. (u většiny pacientů není potřeba, u některých solný roztok dráždí ke kašli)</w:t>
      </w:r>
    </w:p>
    <w:p w14:paraId="7BB41CCF" w14:textId="77777777" w:rsidR="00A76922" w:rsidRPr="00A83EA9" w:rsidRDefault="00A83EA9" w:rsidP="00A83EA9">
      <w:pPr>
        <w:rPr>
          <w:rFonts w:asciiTheme="minorHAnsi" w:eastAsia="Times New Roman" w:hAnsiTheme="minorHAnsi" w:cstheme="minorHAnsi"/>
          <w:sz w:val="20"/>
          <w:szCs w:val="20"/>
          <w:lang w:eastAsia="cs-CZ"/>
        </w:rPr>
      </w:pPr>
      <w:r>
        <w:rPr>
          <w:rFonts w:asciiTheme="minorHAnsi" w:hAnsiTheme="minorHAnsi" w:cstheme="minorHAnsi"/>
          <w:color w:val="000000"/>
          <w:sz w:val="20"/>
          <w:szCs w:val="20"/>
        </w:rPr>
        <w:t xml:space="preserve">- </w:t>
      </w:r>
      <w:r w:rsidR="00A76922" w:rsidRPr="00A83EA9">
        <w:rPr>
          <w:rFonts w:asciiTheme="minorHAnsi" w:hAnsiTheme="minorHAnsi" w:cstheme="minorHAnsi"/>
          <w:color w:val="000000"/>
          <w:sz w:val="20"/>
          <w:szCs w:val="20"/>
        </w:rPr>
        <w:t>dechová rehabilitace - airway clearance techniky</w:t>
      </w:r>
    </w:p>
    <w:p w14:paraId="47C22B08" w14:textId="77777777" w:rsidR="00A76922" w:rsidRPr="000860A0" w:rsidRDefault="00A76922" w:rsidP="00CA4582">
      <w:pPr>
        <w:pStyle w:val="Normln1"/>
        <w:spacing w:line="240" w:lineRule="auto"/>
        <w:jc w:val="both"/>
        <w:rPr>
          <w:rFonts w:ascii="Calibri" w:hAnsi="Calibri" w:cs="Calibri"/>
          <w:color w:val="000000"/>
          <w:sz w:val="20"/>
          <w:szCs w:val="20"/>
        </w:rPr>
      </w:pPr>
    </w:p>
    <w:p w14:paraId="7EF9B93B"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 </w:t>
      </w:r>
      <w:r w:rsidRPr="000860A0">
        <w:rPr>
          <w:rFonts w:ascii="Calibri" w:hAnsi="Calibri" w:cs="Calibri"/>
          <w:color w:val="000000"/>
          <w:sz w:val="20"/>
          <w:szCs w:val="20"/>
          <w:u w:val="single"/>
        </w:rPr>
        <w:t>prevence infekt</w:t>
      </w:r>
      <w:r>
        <w:rPr>
          <w:rFonts w:ascii="Calibri" w:hAnsi="Calibri" w:cs="Calibri"/>
          <w:color w:val="000000"/>
          <w:sz w:val="20"/>
          <w:szCs w:val="20"/>
          <w:u w:val="single"/>
        </w:rPr>
        <w:t>ů</w:t>
      </w:r>
      <w:r w:rsidRPr="000860A0">
        <w:rPr>
          <w:rFonts w:ascii="Calibri" w:hAnsi="Calibri" w:cs="Calibri"/>
          <w:color w:val="000000"/>
          <w:sz w:val="20"/>
          <w:szCs w:val="20"/>
          <w:u w:val="single"/>
        </w:rPr>
        <w:t>,</w:t>
      </w:r>
      <w:r w:rsidRPr="000860A0">
        <w:rPr>
          <w:rFonts w:ascii="Calibri" w:hAnsi="Calibri" w:cs="Calibri"/>
          <w:color w:val="000000"/>
          <w:sz w:val="20"/>
          <w:szCs w:val="20"/>
        </w:rPr>
        <w:t xml:space="preserve"> hygienický režim (prevence infekce PSA)</w:t>
      </w:r>
    </w:p>
    <w:p w14:paraId="4D43F8C8" w14:textId="25D3DBD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doporučeno očkování proti chřipce na podzim (od 2 let věku), doporučeno očkování proti pneumokokům (u dětí očkování podle běžného očkovacího kalendáře včetně pneumokokové vakcíny),</w:t>
      </w:r>
      <w:r w:rsidR="00B8763D">
        <w:rPr>
          <w:rFonts w:ascii="Calibri" w:hAnsi="Calibri" w:cs="Calibri"/>
          <w:color w:val="000000"/>
          <w:sz w:val="20"/>
          <w:szCs w:val="20"/>
        </w:rPr>
        <w:t xml:space="preserve"> v současnosti je doporučeno očkovat i proti COVID-19,</w:t>
      </w:r>
      <w:r w:rsidRPr="000860A0">
        <w:rPr>
          <w:rFonts w:ascii="Calibri" w:hAnsi="Calibri" w:cs="Calibri"/>
          <w:color w:val="000000"/>
          <w:sz w:val="20"/>
          <w:szCs w:val="20"/>
        </w:rPr>
        <w:t xml:space="preserve"> vhodné </w:t>
      </w:r>
      <w:r w:rsidR="00B8763D">
        <w:rPr>
          <w:rFonts w:ascii="Calibri" w:hAnsi="Calibri" w:cs="Calibri"/>
          <w:color w:val="000000"/>
          <w:sz w:val="20"/>
          <w:szCs w:val="20"/>
        </w:rPr>
        <w:t xml:space="preserve">je </w:t>
      </w:r>
      <w:r w:rsidRPr="000860A0">
        <w:rPr>
          <w:rFonts w:ascii="Calibri" w:hAnsi="Calibri" w:cs="Calibri"/>
          <w:color w:val="000000"/>
          <w:sz w:val="20"/>
          <w:szCs w:val="20"/>
        </w:rPr>
        <w:t>i očkování proti TBC, u nejmenších dětí (do dvou let) ke zvážení také imunoprofylaxe RSV (palivizumab)</w:t>
      </w:r>
    </w:p>
    <w:p w14:paraId="43ABDD4F" w14:textId="77777777" w:rsidR="00A76922" w:rsidRPr="000860A0" w:rsidRDefault="00A76922" w:rsidP="00CA4582">
      <w:pPr>
        <w:pStyle w:val="Normln1"/>
        <w:spacing w:line="240" w:lineRule="auto"/>
        <w:jc w:val="both"/>
        <w:rPr>
          <w:rFonts w:ascii="Calibri" w:hAnsi="Calibri" w:cs="Calibri"/>
          <w:color w:val="000000"/>
          <w:sz w:val="20"/>
          <w:szCs w:val="20"/>
        </w:rPr>
      </w:pPr>
    </w:p>
    <w:p w14:paraId="3355F292"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 </w:t>
      </w:r>
      <w:r w:rsidRPr="000860A0">
        <w:rPr>
          <w:rFonts w:ascii="Calibri" w:hAnsi="Calibri" w:cs="Calibri"/>
          <w:color w:val="000000"/>
          <w:sz w:val="20"/>
          <w:szCs w:val="20"/>
          <w:u w:val="single"/>
        </w:rPr>
        <w:t>pravidelné ORL sledování vč. kontrol sluchu</w:t>
      </w:r>
      <w:r w:rsidRPr="000860A0">
        <w:rPr>
          <w:rFonts w:ascii="Calibri" w:hAnsi="Calibri" w:cs="Calibri"/>
          <w:color w:val="000000"/>
          <w:sz w:val="20"/>
          <w:szCs w:val="20"/>
        </w:rPr>
        <w:t xml:space="preserve"> - min. á 12 měsíců</w:t>
      </w:r>
    </w:p>
    <w:p w14:paraId="0347A0D6"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péče o HCD - mořská voda do nosu, proplachy konvičkou, smrkat, nazální topické kortikosteroidy podle doporučení ORL lékaře</w:t>
      </w:r>
    </w:p>
    <w:p w14:paraId="6DF1E464" w14:textId="77777777" w:rsidR="00A76922" w:rsidRPr="000860A0" w:rsidRDefault="00A76922" w:rsidP="00CA4582">
      <w:pPr>
        <w:pStyle w:val="Normln1"/>
        <w:spacing w:line="240" w:lineRule="auto"/>
        <w:jc w:val="both"/>
        <w:rPr>
          <w:rFonts w:ascii="Calibri" w:hAnsi="Calibri" w:cs="Calibri"/>
          <w:color w:val="000000"/>
          <w:sz w:val="20"/>
          <w:szCs w:val="20"/>
        </w:rPr>
      </w:pPr>
    </w:p>
    <w:p w14:paraId="73D3C870" w14:textId="77777777" w:rsidR="00A76922" w:rsidRPr="000860A0" w:rsidRDefault="00A76922" w:rsidP="00CA4582">
      <w:pPr>
        <w:pStyle w:val="Normln1"/>
        <w:spacing w:line="240" w:lineRule="auto"/>
        <w:jc w:val="both"/>
        <w:rPr>
          <w:rFonts w:ascii="Calibri" w:hAnsi="Calibri" w:cs="Calibri"/>
          <w:color w:val="000000"/>
          <w:sz w:val="20"/>
          <w:szCs w:val="20"/>
        </w:rPr>
      </w:pPr>
      <w:r w:rsidRPr="000860A0">
        <w:rPr>
          <w:rFonts w:ascii="Calibri" w:hAnsi="Calibri" w:cs="Calibri"/>
          <w:color w:val="000000"/>
          <w:sz w:val="20"/>
          <w:szCs w:val="20"/>
        </w:rPr>
        <w:t xml:space="preserve">- </w:t>
      </w:r>
      <w:r w:rsidRPr="000860A0">
        <w:rPr>
          <w:rFonts w:ascii="Calibri" w:hAnsi="Calibri" w:cs="Calibri"/>
          <w:color w:val="000000"/>
          <w:sz w:val="20"/>
          <w:szCs w:val="20"/>
          <w:u w:val="single"/>
        </w:rPr>
        <w:t>u dospělých pacientů problematika plodnosti</w:t>
      </w:r>
      <w:r w:rsidRPr="000860A0">
        <w:rPr>
          <w:rFonts w:ascii="Calibri" w:hAnsi="Calibri" w:cs="Calibri"/>
          <w:color w:val="000000"/>
          <w:sz w:val="20"/>
          <w:szCs w:val="20"/>
        </w:rPr>
        <w:t xml:space="preserve"> – vyšetření, konzultace v centru asistované reprodukce, prevence neplánované gravidity</w:t>
      </w:r>
    </w:p>
    <w:p w14:paraId="1EBD680D" w14:textId="77777777" w:rsidR="00A76922" w:rsidRPr="000860A0" w:rsidRDefault="00A76922" w:rsidP="00CA4582">
      <w:pPr>
        <w:pStyle w:val="Normln1"/>
        <w:spacing w:line="240" w:lineRule="auto"/>
        <w:jc w:val="both"/>
        <w:rPr>
          <w:rFonts w:ascii="Calibri" w:hAnsi="Calibri" w:cs="Calibri"/>
          <w:color w:val="000000"/>
          <w:sz w:val="20"/>
          <w:szCs w:val="20"/>
        </w:rPr>
      </w:pPr>
    </w:p>
    <w:p w14:paraId="634D7BD5" w14:textId="77777777" w:rsidR="00A76922" w:rsidRPr="000860A0" w:rsidRDefault="00A76922" w:rsidP="00CA4582">
      <w:pPr>
        <w:pStyle w:val="Normln1"/>
        <w:spacing w:line="240" w:lineRule="auto"/>
        <w:jc w:val="both"/>
        <w:rPr>
          <w:rFonts w:ascii="Calibri" w:hAnsi="Calibri" w:cs="Calibri"/>
          <w:color w:val="000000"/>
          <w:sz w:val="20"/>
          <w:szCs w:val="20"/>
          <w:u w:val="single"/>
        </w:rPr>
      </w:pPr>
      <w:r w:rsidRPr="000860A0">
        <w:rPr>
          <w:rFonts w:ascii="Calibri" w:hAnsi="Calibri" w:cs="Calibri"/>
          <w:color w:val="000000"/>
          <w:sz w:val="20"/>
          <w:szCs w:val="20"/>
        </w:rPr>
        <w:t xml:space="preserve">- </w:t>
      </w:r>
      <w:r w:rsidRPr="000860A0">
        <w:rPr>
          <w:rFonts w:ascii="Calibri" w:hAnsi="Calibri" w:cs="Calibri"/>
          <w:color w:val="000000"/>
          <w:sz w:val="20"/>
          <w:szCs w:val="20"/>
          <w:u w:val="single"/>
        </w:rPr>
        <w:t>možná konzultace léčby včetně otázek antibioterapie s centrem FNM</w:t>
      </w:r>
    </w:p>
    <w:p w14:paraId="2E9494AA" w14:textId="77777777" w:rsidR="00A76922" w:rsidRPr="000860A0" w:rsidRDefault="00A76922" w:rsidP="00CA4582">
      <w:pPr>
        <w:pStyle w:val="Normln1"/>
        <w:spacing w:line="240" w:lineRule="auto"/>
        <w:jc w:val="both"/>
        <w:rPr>
          <w:rFonts w:ascii="Calibri" w:hAnsi="Calibri" w:cs="Calibri"/>
          <w:color w:val="000000"/>
          <w:sz w:val="20"/>
          <w:szCs w:val="20"/>
        </w:rPr>
      </w:pPr>
    </w:p>
    <w:p w14:paraId="15180205" w14:textId="77777777" w:rsidR="00A76922" w:rsidRPr="000860A0" w:rsidRDefault="00A76922" w:rsidP="00CA4582">
      <w:pPr>
        <w:pStyle w:val="Normln1"/>
        <w:spacing w:line="240" w:lineRule="auto"/>
        <w:jc w:val="both"/>
        <w:rPr>
          <w:rFonts w:ascii="Calibri" w:hAnsi="Calibri" w:cs="Calibri"/>
          <w:b/>
          <w:color w:val="000000"/>
          <w:sz w:val="20"/>
          <w:szCs w:val="20"/>
        </w:rPr>
      </w:pPr>
      <w:r w:rsidRPr="000860A0">
        <w:rPr>
          <w:rFonts w:ascii="Calibri" w:hAnsi="Calibri" w:cs="Calibri"/>
          <w:b/>
          <w:color w:val="000000"/>
          <w:sz w:val="20"/>
          <w:szCs w:val="20"/>
        </w:rPr>
        <w:t>Přílohy a odkazy:</w:t>
      </w:r>
    </w:p>
    <w:p w14:paraId="55123F80" w14:textId="77777777" w:rsidR="00A76922" w:rsidRPr="000860A0" w:rsidRDefault="00B8763D" w:rsidP="00CA4582">
      <w:pPr>
        <w:pStyle w:val="Normln1"/>
        <w:numPr>
          <w:ilvl w:val="0"/>
          <w:numId w:val="2"/>
        </w:numPr>
        <w:spacing w:line="240" w:lineRule="auto"/>
        <w:jc w:val="both"/>
        <w:rPr>
          <w:rFonts w:ascii="Calibri" w:hAnsi="Calibri" w:cs="Calibri"/>
          <w:bCs/>
          <w:color w:val="000000"/>
          <w:sz w:val="20"/>
          <w:szCs w:val="20"/>
        </w:rPr>
      </w:pPr>
      <w:hyperlink r:id="rId6" w:history="1">
        <w:r w:rsidR="00A76922" w:rsidRPr="000860A0">
          <w:rPr>
            <w:rStyle w:val="Hypertextovodkaz"/>
            <w:rFonts w:ascii="Calibri" w:hAnsi="Calibri" w:cs="Calibri"/>
            <w:bCs/>
            <w:color w:val="000000"/>
            <w:sz w:val="20"/>
            <w:szCs w:val="20"/>
          </w:rPr>
          <w:t>www.rasinky.cz</w:t>
        </w:r>
      </w:hyperlink>
    </w:p>
    <w:p w14:paraId="381AE87E" w14:textId="77777777" w:rsidR="00A76922" w:rsidRPr="000860A0" w:rsidRDefault="00A76922" w:rsidP="00CA4582">
      <w:pPr>
        <w:pStyle w:val="Normln1"/>
        <w:numPr>
          <w:ilvl w:val="0"/>
          <w:numId w:val="2"/>
        </w:numPr>
        <w:spacing w:line="240" w:lineRule="auto"/>
        <w:jc w:val="both"/>
        <w:rPr>
          <w:rFonts w:ascii="Calibri" w:hAnsi="Calibri" w:cs="Calibri"/>
          <w:bCs/>
          <w:color w:val="000000"/>
          <w:sz w:val="20"/>
          <w:szCs w:val="20"/>
        </w:rPr>
      </w:pPr>
      <w:r w:rsidRPr="000860A0">
        <w:rPr>
          <w:rFonts w:ascii="Calibri" w:hAnsi="Calibri" w:cs="Calibri"/>
          <w:bCs/>
          <w:color w:val="000000"/>
          <w:sz w:val="20"/>
          <w:szCs w:val="20"/>
        </w:rPr>
        <w:t>Brožura pro</w:t>
      </w:r>
      <w:r>
        <w:rPr>
          <w:rFonts w:ascii="Calibri" w:hAnsi="Calibri" w:cs="Calibri"/>
          <w:bCs/>
          <w:color w:val="000000"/>
          <w:sz w:val="20"/>
          <w:szCs w:val="20"/>
        </w:rPr>
        <w:t xml:space="preserve"> dětské</w:t>
      </w:r>
      <w:r w:rsidRPr="000860A0">
        <w:rPr>
          <w:rFonts w:ascii="Calibri" w:hAnsi="Calibri" w:cs="Calibri"/>
          <w:bCs/>
          <w:color w:val="000000"/>
          <w:sz w:val="20"/>
          <w:szCs w:val="20"/>
        </w:rPr>
        <w:t xml:space="preserve"> pacienty</w:t>
      </w:r>
      <w:r>
        <w:rPr>
          <w:rFonts w:ascii="Calibri" w:hAnsi="Calibri" w:cs="Calibri"/>
          <w:bCs/>
          <w:color w:val="000000"/>
          <w:sz w:val="20"/>
          <w:szCs w:val="20"/>
        </w:rPr>
        <w:t xml:space="preserve"> s </w:t>
      </w:r>
      <w:r w:rsidRPr="000860A0">
        <w:rPr>
          <w:rFonts w:ascii="Calibri" w:hAnsi="Calibri" w:cs="Calibri"/>
          <w:bCs/>
          <w:color w:val="000000"/>
          <w:sz w:val="20"/>
          <w:szCs w:val="20"/>
        </w:rPr>
        <w:t>PCD (Řasinky – edukační materiál)</w:t>
      </w:r>
    </w:p>
    <w:p w14:paraId="7B55FF30" w14:textId="77777777" w:rsidR="00A76922" w:rsidRPr="000860A0" w:rsidRDefault="00A76922" w:rsidP="00CA4582">
      <w:pPr>
        <w:pStyle w:val="Normln1"/>
        <w:numPr>
          <w:ilvl w:val="0"/>
          <w:numId w:val="2"/>
        </w:numPr>
        <w:spacing w:line="240" w:lineRule="auto"/>
        <w:jc w:val="both"/>
        <w:rPr>
          <w:rFonts w:ascii="Calibri" w:hAnsi="Calibri" w:cs="Calibri"/>
          <w:bCs/>
          <w:color w:val="000000"/>
          <w:sz w:val="20"/>
          <w:szCs w:val="20"/>
        </w:rPr>
      </w:pPr>
      <w:r w:rsidRPr="000860A0">
        <w:rPr>
          <w:rFonts w:ascii="Calibri" w:hAnsi="Calibri" w:cs="Calibri"/>
          <w:bCs/>
          <w:color w:val="000000"/>
          <w:sz w:val="20"/>
          <w:szCs w:val="20"/>
        </w:rPr>
        <w:t>Kdy pomýšlet na řasinkové dysfunkce – přehledový článek o PCD (Česko-Slovenská Pediatrie)</w:t>
      </w:r>
    </w:p>
    <w:p w14:paraId="2D2BD757" w14:textId="77777777" w:rsidR="00A76922" w:rsidRPr="000860A0" w:rsidRDefault="00A76922" w:rsidP="00CA4582">
      <w:pPr>
        <w:pStyle w:val="Normln1"/>
        <w:numPr>
          <w:ilvl w:val="0"/>
          <w:numId w:val="2"/>
        </w:numPr>
        <w:spacing w:line="240" w:lineRule="auto"/>
        <w:jc w:val="both"/>
        <w:rPr>
          <w:rFonts w:ascii="Calibri" w:hAnsi="Calibri" w:cs="Calibri"/>
          <w:bCs/>
          <w:color w:val="000000"/>
          <w:sz w:val="20"/>
          <w:szCs w:val="20"/>
        </w:rPr>
      </w:pPr>
      <w:r w:rsidRPr="000860A0">
        <w:rPr>
          <w:rFonts w:ascii="Calibri" w:hAnsi="Calibri" w:cs="Calibri"/>
          <w:bCs/>
          <w:color w:val="000000"/>
          <w:sz w:val="20"/>
          <w:szCs w:val="20"/>
        </w:rPr>
        <w:t>Diagnostický algoritmus ERS</w:t>
      </w:r>
    </w:p>
    <w:p w14:paraId="05F0E4AC" w14:textId="77777777" w:rsidR="00A76922" w:rsidRPr="000860A0" w:rsidRDefault="00A76922" w:rsidP="00CA4582">
      <w:pPr>
        <w:pStyle w:val="Normln1"/>
        <w:numPr>
          <w:ilvl w:val="0"/>
          <w:numId w:val="2"/>
        </w:numPr>
        <w:spacing w:line="240" w:lineRule="auto"/>
        <w:jc w:val="both"/>
        <w:rPr>
          <w:rFonts w:ascii="Calibri" w:hAnsi="Calibri" w:cs="Calibri"/>
          <w:bCs/>
          <w:color w:val="000000"/>
          <w:sz w:val="20"/>
          <w:szCs w:val="20"/>
        </w:rPr>
      </w:pPr>
      <w:r w:rsidRPr="000860A0">
        <w:rPr>
          <w:rFonts w:ascii="Calibri" w:hAnsi="Calibri" w:cs="Calibri"/>
          <w:bCs/>
          <w:color w:val="000000"/>
          <w:sz w:val="20"/>
          <w:szCs w:val="20"/>
        </w:rPr>
        <w:t>Definice exacerbace ERS</w:t>
      </w:r>
    </w:p>
    <w:p w14:paraId="05815994" w14:textId="77777777" w:rsidR="00A76922" w:rsidRPr="000860A0" w:rsidRDefault="00A76922" w:rsidP="00CA4582">
      <w:pPr>
        <w:pStyle w:val="Normln1"/>
        <w:spacing w:line="240" w:lineRule="auto"/>
        <w:jc w:val="both"/>
        <w:rPr>
          <w:rFonts w:ascii="Calibri" w:hAnsi="Calibri" w:cs="Calibri"/>
          <w:b/>
          <w:bCs/>
          <w:color w:val="000000"/>
          <w:sz w:val="20"/>
          <w:szCs w:val="20"/>
        </w:rPr>
      </w:pPr>
    </w:p>
    <w:sectPr w:rsidR="00A76922" w:rsidRPr="000860A0" w:rsidSect="001678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0000000000000000000"/>
    <w:charset w:val="EE"/>
    <w:family w:val="swiss"/>
    <w:notTrueType/>
    <w:pitch w:val="variable"/>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903"/>
    <w:multiLevelType w:val="hybridMultilevel"/>
    <w:tmpl w:val="77CC40AE"/>
    <w:lvl w:ilvl="0" w:tplc="0DA85DD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D80D31"/>
    <w:multiLevelType w:val="hybridMultilevel"/>
    <w:tmpl w:val="F020A658"/>
    <w:lvl w:ilvl="0" w:tplc="75526F4A">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1367C5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4A04523F"/>
    <w:multiLevelType w:val="hybridMultilevel"/>
    <w:tmpl w:val="1E560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9680C5E"/>
    <w:multiLevelType w:val="hybridMultilevel"/>
    <w:tmpl w:val="DE76E4F8"/>
    <w:lvl w:ilvl="0" w:tplc="0A4437B0">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A2"/>
    <w:rsid w:val="00053C2B"/>
    <w:rsid w:val="000860A0"/>
    <w:rsid w:val="000B1FAD"/>
    <w:rsid w:val="001678C0"/>
    <w:rsid w:val="001741C3"/>
    <w:rsid w:val="001D1365"/>
    <w:rsid w:val="001E5A02"/>
    <w:rsid w:val="001F53A1"/>
    <w:rsid w:val="0022584E"/>
    <w:rsid w:val="002509D2"/>
    <w:rsid w:val="0026180F"/>
    <w:rsid w:val="002B32BA"/>
    <w:rsid w:val="002C6CD5"/>
    <w:rsid w:val="00322F22"/>
    <w:rsid w:val="00350369"/>
    <w:rsid w:val="00453F55"/>
    <w:rsid w:val="00485F84"/>
    <w:rsid w:val="00535D63"/>
    <w:rsid w:val="006120CD"/>
    <w:rsid w:val="00627645"/>
    <w:rsid w:val="006A74EB"/>
    <w:rsid w:val="006C6C27"/>
    <w:rsid w:val="00733D88"/>
    <w:rsid w:val="00754758"/>
    <w:rsid w:val="00802A04"/>
    <w:rsid w:val="00850812"/>
    <w:rsid w:val="00880D34"/>
    <w:rsid w:val="009076EF"/>
    <w:rsid w:val="00914A7F"/>
    <w:rsid w:val="009B1C70"/>
    <w:rsid w:val="009E4C96"/>
    <w:rsid w:val="009F5F9F"/>
    <w:rsid w:val="00A00E51"/>
    <w:rsid w:val="00A1357D"/>
    <w:rsid w:val="00A551C3"/>
    <w:rsid w:val="00A76922"/>
    <w:rsid w:val="00A83EA9"/>
    <w:rsid w:val="00B1509E"/>
    <w:rsid w:val="00B3244B"/>
    <w:rsid w:val="00B8763D"/>
    <w:rsid w:val="00BC59AB"/>
    <w:rsid w:val="00BF5904"/>
    <w:rsid w:val="00C41D05"/>
    <w:rsid w:val="00C450E8"/>
    <w:rsid w:val="00C74628"/>
    <w:rsid w:val="00C77EA2"/>
    <w:rsid w:val="00C86019"/>
    <w:rsid w:val="00CA4582"/>
    <w:rsid w:val="00CA47B2"/>
    <w:rsid w:val="00CE72B0"/>
    <w:rsid w:val="00D71C55"/>
    <w:rsid w:val="00D90822"/>
    <w:rsid w:val="00DF6274"/>
    <w:rsid w:val="00E769DE"/>
    <w:rsid w:val="00EB2573"/>
    <w:rsid w:val="00EB60E8"/>
    <w:rsid w:val="00EC52F4"/>
    <w:rsid w:val="00EF1F4F"/>
    <w:rsid w:val="00F54E7A"/>
    <w:rsid w:val="00F61E69"/>
    <w:rsid w:val="00F92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57E13"/>
  <w15:docId w15:val="{D3F701C1-B920-1A40-9D64-4ECAAFAE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0CD"/>
    <w:rPr>
      <w:sz w:val="24"/>
      <w:szCs w:val="24"/>
      <w:lang w:eastAsia="en-US"/>
    </w:rPr>
  </w:style>
  <w:style w:type="paragraph" w:styleId="Nadpis2">
    <w:name w:val="heading 2"/>
    <w:basedOn w:val="Normln1"/>
    <w:next w:val="Normln1"/>
    <w:link w:val="Nadpis2Char"/>
    <w:uiPriority w:val="99"/>
    <w:qFormat/>
    <w:rsid w:val="00C77EA2"/>
    <w:pPr>
      <w:keepNext/>
      <w:keepLines/>
      <w:spacing w:before="360" w:after="120"/>
      <w:outlineLvl w:val="1"/>
    </w:pPr>
    <w:rPr>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C77EA2"/>
    <w:rPr>
      <w:rFonts w:ascii="Arial" w:eastAsia="Times New Roman" w:hAnsi="Arial" w:cs="Arial"/>
      <w:sz w:val="32"/>
      <w:szCs w:val="32"/>
      <w:lang w:eastAsia="cs-CZ"/>
    </w:rPr>
  </w:style>
  <w:style w:type="paragraph" w:customStyle="1" w:styleId="Normln1">
    <w:name w:val="Normální1"/>
    <w:uiPriority w:val="99"/>
    <w:rsid w:val="00C77EA2"/>
    <w:pPr>
      <w:spacing w:line="276" w:lineRule="auto"/>
    </w:pPr>
    <w:rPr>
      <w:rFonts w:ascii="Arial" w:hAnsi="Arial" w:cs="Arial"/>
    </w:rPr>
  </w:style>
  <w:style w:type="character" w:styleId="Hypertextovodkaz">
    <w:name w:val="Hyperlink"/>
    <w:basedOn w:val="Standardnpsmoodstavce"/>
    <w:uiPriority w:val="99"/>
    <w:rsid w:val="001741C3"/>
    <w:rPr>
      <w:rFonts w:cs="Times New Roman"/>
      <w:color w:val="0563C1"/>
      <w:u w:val="single"/>
    </w:rPr>
  </w:style>
  <w:style w:type="character" w:customStyle="1" w:styleId="Nevyeenzmnka1">
    <w:name w:val="Nevyřešená zmínka1"/>
    <w:basedOn w:val="Standardnpsmoodstavce"/>
    <w:uiPriority w:val="99"/>
    <w:semiHidden/>
    <w:rsid w:val="001741C3"/>
    <w:rPr>
      <w:rFonts w:cs="Times New Roman"/>
      <w:color w:val="605E5C"/>
      <w:shd w:val="clear" w:color="auto" w:fill="E1DFDD"/>
    </w:rPr>
  </w:style>
  <w:style w:type="paragraph" w:styleId="Textbubliny">
    <w:name w:val="Balloon Text"/>
    <w:basedOn w:val="Normln"/>
    <w:link w:val="TextbublinyChar"/>
    <w:uiPriority w:val="99"/>
    <w:semiHidden/>
    <w:rsid w:val="00733D88"/>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33D88"/>
    <w:rPr>
      <w:rFonts w:ascii="Segoe UI" w:hAnsi="Segoe UI" w:cs="Segoe UI"/>
      <w:sz w:val="18"/>
      <w:szCs w:val="18"/>
    </w:rPr>
  </w:style>
  <w:style w:type="character" w:styleId="Odkaznakoment">
    <w:name w:val="annotation reference"/>
    <w:basedOn w:val="Standardnpsmoodstavce"/>
    <w:uiPriority w:val="99"/>
    <w:semiHidden/>
    <w:rsid w:val="00802A04"/>
    <w:rPr>
      <w:rFonts w:cs="Times New Roman"/>
      <w:sz w:val="16"/>
      <w:szCs w:val="16"/>
    </w:rPr>
  </w:style>
  <w:style w:type="paragraph" w:styleId="Textkomente">
    <w:name w:val="annotation text"/>
    <w:basedOn w:val="Normln"/>
    <w:link w:val="TextkomenteChar"/>
    <w:uiPriority w:val="99"/>
    <w:semiHidden/>
    <w:rsid w:val="00802A04"/>
    <w:rPr>
      <w:sz w:val="20"/>
      <w:szCs w:val="20"/>
    </w:rPr>
  </w:style>
  <w:style w:type="character" w:customStyle="1" w:styleId="TextkomenteChar">
    <w:name w:val="Text komentáře Char"/>
    <w:basedOn w:val="Standardnpsmoodstavce"/>
    <w:link w:val="Textkomente"/>
    <w:uiPriority w:val="99"/>
    <w:semiHidden/>
    <w:locked/>
    <w:rsid w:val="00802A04"/>
    <w:rPr>
      <w:rFonts w:cs="Times New Roman"/>
      <w:sz w:val="20"/>
      <w:szCs w:val="20"/>
    </w:rPr>
  </w:style>
  <w:style w:type="paragraph" w:styleId="Pedmtkomente">
    <w:name w:val="annotation subject"/>
    <w:basedOn w:val="Textkomente"/>
    <w:next w:val="Textkomente"/>
    <w:link w:val="PedmtkomenteChar"/>
    <w:uiPriority w:val="99"/>
    <w:semiHidden/>
    <w:rsid w:val="00802A04"/>
    <w:rPr>
      <w:b/>
      <w:bCs/>
    </w:rPr>
  </w:style>
  <w:style w:type="character" w:customStyle="1" w:styleId="PedmtkomenteChar">
    <w:name w:val="Předmět komentáře Char"/>
    <w:basedOn w:val="TextkomenteChar"/>
    <w:link w:val="Pedmtkomente"/>
    <w:uiPriority w:val="99"/>
    <w:semiHidden/>
    <w:locked/>
    <w:rsid w:val="00802A04"/>
    <w:rPr>
      <w:rFonts w:cs="Times New Roman"/>
      <w:b/>
      <w:bCs/>
      <w:sz w:val="20"/>
      <w:szCs w:val="20"/>
    </w:rPr>
  </w:style>
  <w:style w:type="paragraph" w:styleId="Revize">
    <w:name w:val="Revision"/>
    <w:hidden/>
    <w:uiPriority w:val="99"/>
    <w:semiHidden/>
    <w:rsid w:val="00D71C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8108">
      <w:bodyDiv w:val="1"/>
      <w:marLeft w:val="0"/>
      <w:marRight w:val="0"/>
      <w:marTop w:val="0"/>
      <w:marBottom w:val="0"/>
      <w:divBdr>
        <w:top w:val="none" w:sz="0" w:space="0" w:color="auto"/>
        <w:left w:val="none" w:sz="0" w:space="0" w:color="auto"/>
        <w:bottom w:val="none" w:sz="0" w:space="0" w:color="auto"/>
        <w:right w:val="none" w:sz="0" w:space="0" w:color="auto"/>
      </w:divBdr>
    </w:div>
    <w:div w:id="166227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sinky.cz" TargetMode="External"/><Relationship Id="rId5" Type="http://schemas.openxmlformats.org/officeDocument/2006/relationships/hyperlink" Target="mailto:lucie.borek-dohalska@lfmotol.cuni.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1353</Words>
  <Characters>7985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SOP PCD – ambulantní kontroly a doporučená péče</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PCD – ambulantní kontroly a doporučená péče</dc:title>
  <dc:subject/>
  <dc:creator>Vendy</dc:creator>
  <cp:keywords/>
  <dc:description/>
  <cp:lastModifiedBy>Petra Dvořáková</cp:lastModifiedBy>
  <cp:revision>5</cp:revision>
  <dcterms:created xsi:type="dcterms:W3CDTF">2021-12-29T20:16:00Z</dcterms:created>
  <dcterms:modified xsi:type="dcterms:W3CDTF">2022-01-03T20:23:00Z</dcterms:modified>
</cp:coreProperties>
</file>